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9"/>
        <w:gridCol w:w="3093"/>
        <w:gridCol w:w="3230"/>
      </w:tblGrid>
      <w:tr w:rsidR="00C07511" w14:paraId="5010ABD7" w14:textId="77777777">
        <w:tc>
          <w:tcPr>
            <w:tcW w:w="3283" w:type="dxa"/>
          </w:tcPr>
          <w:p w14:paraId="5010ABC9" w14:textId="77777777" w:rsidR="007F03D9" w:rsidRPr="007F03D9" w:rsidRDefault="007F03D9" w:rsidP="007F03D9">
            <w:pPr>
              <w:pStyle w:val="BLGLetterClosing"/>
              <w:rPr>
                <w:rFonts w:ascii="Arial" w:hAnsi="Arial" w:cs="Arial"/>
                <w:b/>
                <w:sz w:val="16"/>
                <w:szCs w:val="16"/>
              </w:rPr>
            </w:pPr>
            <w:bookmarkStart w:id="0" w:name="PhoneText"/>
            <w:bookmarkStart w:id="1" w:name="Telephone2"/>
            <w:bookmarkStart w:id="2" w:name="_GoBack"/>
            <w:bookmarkEnd w:id="0"/>
            <w:bookmarkEnd w:id="1"/>
            <w:bookmarkEnd w:id="2"/>
            <w:r w:rsidRPr="007F03D9">
              <w:rPr>
                <w:rFonts w:ascii="Arial" w:hAnsi="Arial" w:cs="Arial"/>
                <w:b/>
                <w:sz w:val="16"/>
                <w:szCs w:val="16"/>
              </w:rPr>
              <w:t xml:space="preserve">Eric M. </w:t>
            </w:r>
            <w:proofErr w:type="spellStart"/>
            <w:r w:rsidRPr="007F03D9">
              <w:rPr>
                <w:rFonts w:ascii="Arial" w:hAnsi="Arial" w:cs="Arial"/>
                <w:b/>
                <w:sz w:val="16"/>
                <w:szCs w:val="16"/>
              </w:rPr>
              <w:t>Roher</w:t>
            </w:r>
            <w:proofErr w:type="spellEnd"/>
          </w:p>
          <w:p w14:paraId="5010ABCA" w14:textId="77777777" w:rsidR="007F03D9" w:rsidRPr="007F03D9" w:rsidRDefault="007F03D9" w:rsidP="007F03D9">
            <w:pPr>
              <w:autoSpaceDE w:val="0"/>
              <w:autoSpaceDN w:val="0"/>
              <w:adjustRightInd w:val="0"/>
              <w:spacing w:after="0"/>
              <w:rPr>
                <w:rFonts w:ascii="Arial" w:hAnsi="Arial" w:cs="Arial"/>
                <w:sz w:val="16"/>
                <w:szCs w:val="16"/>
                <w:lang w:eastAsia="en-CA"/>
              </w:rPr>
            </w:pPr>
            <w:r w:rsidRPr="007F03D9">
              <w:rPr>
                <w:rFonts w:ascii="Arial" w:hAnsi="Arial" w:cs="Arial"/>
                <w:sz w:val="16"/>
                <w:szCs w:val="16"/>
                <w:lang w:eastAsia="en-CA"/>
              </w:rPr>
              <w:t>T  416.367.6004</w:t>
            </w:r>
          </w:p>
          <w:p w14:paraId="5010ABCB" w14:textId="77777777" w:rsidR="007F03D9" w:rsidRPr="007F03D9" w:rsidRDefault="007F03D9" w:rsidP="007F03D9">
            <w:pPr>
              <w:autoSpaceDE w:val="0"/>
              <w:autoSpaceDN w:val="0"/>
              <w:adjustRightInd w:val="0"/>
              <w:spacing w:after="0"/>
              <w:rPr>
                <w:rFonts w:ascii="Arial" w:hAnsi="Arial" w:cs="Arial"/>
                <w:sz w:val="16"/>
                <w:szCs w:val="16"/>
                <w:lang w:eastAsia="en-CA"/>
              </w:rPr>
            </w:pPr>
            <w:r w:rsidRPr="007F03D9">
              <w:rPr>
                <w:rFonts w:ascii="Arial" w:hAnsi="Arial" w:cs="Arial"/>
                <w:sz w:val="16"/>
                <w:szCs w:val="16"/>
                <w:lang w:eastAsia="en-CA"/>
              </w:rPr>
              <w:t>F  416.</w:t>
            </w:r>
            <w:r w:rsidR="00B43133">
              <w:rPr>
                <w:rFonts w:ascii="Arial" w:hAnsi="Arial" w:cs="Arial"/>
                <w:sz w:val="16"/>
                <w:szCs w:val="16"/>
                <w:lang w:eastAsia="en-CA"/>
              </w:rPr>
              <w:t>367.6749</w:t>
            </w:r>
          </w:p>
          <w:p w14:paraId="5010ABCC" w14:textId="77777777" w:rsidR="00C07511" w:rsidRPr="00075EFF" w:rsidRDefault="007F03D9" w:rsidP="00075EFF">
            <w:pPr>
              <w:autoSpaceDE w:val="0"/>
              <w:autoSpaceDN w:val="0"/>
              <w:adjustRightInd w:val="0"/>
              <w:spacing w:before="20" w:after="0"/>
              <w:rPr>
                <w:rFonts w:ascii="Arial" w:hAnsi="Arial" w:cs="Arial"/>
                <w:b/>
                <w:sz w:val="16"/>
                <w:szCs w:val="16"/>
                <w:lang w:val="fr-FR" w:eastAsia="en-CA"/>
              </w:rPr>
            </w:pPr>
            <w:r>
              <w:rPr>
                <w:rFonts w:ascii="Arial" w:hAnsi="Arial" w:cs="Arial"/>
                <w:sz w:val="16"/>
                <w:szCs w:val="16"/>
                <w:lang w:val="fr-FR" w:eastAsia="en-CA"/>
              </w:rPr>
              <w:t>eroher</w:t>
            </w:r>
            <w:r w:rsidRPr="00025E80">
              <w:rPr>
                <w:rFonts w:ascii="Arial" w:hAnsi="Arial" w:cs="Arial"/>
                <w:sz w:val="16"/>
                <w:szCs w:val="16"/>
                <w:lang w:val="fr-FR" w:eastAsia="en-CA"/>
              </w:rPr>
              <w:t>@blg.com</w:t>
            </w:r>
            <w:bookmarkStart w:id="3" w:name="Telephone"/>
            <w:bookmarkStart w:id="4" w:name="Fax"/>
            <w:bookmarkStart w:id="5" w:name="Email"/>
            <w:bookmarkEnd w:id="3"/>
            <w:bookmarkEnd w:id="4"/>
            <w:bookmarkEnd w:id="5"/>
          </w:p>
          <w:p w14:paraId="5010ABCD" w14:textId="77777777" w:rsidR="00025E80" w:rsidRPr="00025E80" w:rsidRDefault="00025E80" w:rsidP="00025E80">
            <w:pPr>
              <w:pStyle w:val="BLGLetterClosing"/>
              <w:rPr>
                <w:rFonts w:ascii="Arial" w:hAnsi="Arial" w:cs="Arial"/>
                <w:b/>
                <w:sz w:val="16"/>
                <w:szCs w:val="16"/>
                <w:lang w:val="fr-FR"/>
              </w:rPr>
            </w:pPr>
            <w:bookmarkStart w:id="6" w:name="Lawyer2"/>
            <w:bookmarkEnd w:id="6"/>
          </w:p>
          <w:p w14:paraId="5010ABCE" w14:textId="77777777" w:rsidR="00C07511" w:rsidRPr="00025E80" w:rsidRDefault="00C07511" w:rsidP="000A4FDF">
            <w:pPr>
              <w:pStyle w:val="BLGLetterClosing"/>
              <w:rPr>
                <w:rFonts w:ascii="Arial" w:hAnsi="Arial" w:cs="Arial"/>
                <w:sz w:val="16"/>
                <w:szCs w:val="16"/>
                <w:lang w:val="fr-FR"/>
              </w:rPr>
            </w:pPr>
            <w:bookmarkStart w:id="7" w:name="FaxText"/>
            <w:bookmarkStart w:id="8" w:name="Fax2"/>
            <w:bookmarkEnd w:id="7"/>
            <w:bookmarkEnd w:id="8"/>
          </w:p>
          <w:p w14:paraId="5010ABCF" w14:textId="77777777" w:rsidR="00C07511" w:rsidRPr="00025E80" w:rsidRDefault="00C07511" w:rsidP="000A4FDF">
            <w:pPr>
              <w:pStyle w:val="BLGLetterClosing"/>
              <w:rPr>
                <w:rFonts w:ascii="Arial" w:hAnsi="Arial" w:cs="Arial"/>
                <w:sz w:val="16"/>
                <w:szCs w:val="16"/>
                <w:lang w:val="fr-FR"/>
              </w:rPr>
            </w:pPr>
            <w:bookmarkStart w:id="9" w:name="Email2"/>
            <w:bookmarkEnd w:id="9"/>
          </w:p>
        </w:tc>
        <w:tc>
          <w:tcPr>
            <w:tcW w:w="3283" w:type="dxa"/>
          </w:tcPr>
          <w:p w14:paraId="5010ABD0" w14:textId="77777777" w:rsidR="00054B7F" w:rsidRDefault="00054B7F" w:rsidP="000A4FDF">
            <w:pPr>
              <w:autoSpaceDE w:val="0"/>
              <w:autoSpaceDN w:val="0"/>
              <w:adjustRightInd w:val="0"/>
              <w:spacing w:before="40" w:after="0"/>
              <w:rPr>
                <w:rFonts w:ascii="Arial" w:hAnsi="Arial" w:cs="Arial"/>
                <w:sz w:val="16"/>
                <w:szCs w:val="16"/>
              </w:rPr>
            </w:pPr>
            <w:bookmarkStart w:id="10" w:name="AddS"/>
            <w:bookmarkEnd w:id="10"/>
            <w:r>
              <w:rPr>
                <w:rFonts w:ascii="Arial" w:hAnsi="Arial" w:cs="Arial"/>
                <w:sz w:val="16"/>
                <w:szCs w:val="16"/>
              </w:rPr>
              <w:t>Borden Ladner Gervais LLP</w:t>
            </w:r>
          </w:p>
          <w:p w14:paraId="5010ABD1" w14:textId="77777777" w:rsidR="00054B7F" w:rsidRDefault="00054B7F" w:rsidP="000A4FDF">
            <w:pPr>
              <w:autoSpaceDE w:val="0"/>
              <w:autoSpaceDN w:val="0"/>
              <w:adjustRightInd w:val="0"/>
              <w:spacing w:after="0"/>
              <w:rPr>
                <w:rFonts w:ascii="Arial" w:hAnsi="Arial" w:cs="Arial"/>
                <w:sz w:val="16"/>
                <w:szCs w:val="16"/>
              </w:rPr>
            </w:pPr>
            <w:r>
              <w:rPr>
                <w:rFonts w:ascii="Arial" w:hAnsi="Arial" w:cs="Arial"/>
                <w:sz w:val="16"/>
                <w:szCs w:val="16"/>
              </w:rPr>
              <w:t>Scotia Plaza, 40 King St W</w:t>
            </w:r>
          </w:p>
          <w:p w14:paraId="5010ABD2" w14:textId="77777777" w:rsidR="00054B7F" w:rsidRDefault="00054B7F" w:rsidP="000A4FDF">
            <w:pPr>
              <w:autoSpaceDE w:val="0"/>
              <w:autoSpaceDN w:val="0"/>
              <w:adjustRightInd w:val="0"/>
              <w:spacing w:after="0"/>
              <w:rPr>
                <w:rFonts w:ascii="Arial" w:hAnsi="Arial" w:cs="Arial"/>
                <w:sz w:val="16"/>
                <w:szCs w:val="16"/>
                <w:lang w:val="en-US"/>
              </w:rPr>
            </w:pPr>
            <w:r>
              <w:rPr>
                <w:rFonts w:ascii="Arial" w:hAnsi="Arial" w:cs="Arial"/>
                <w:sz w:val="16"/>
                <w:szCs w:val="16"/>
                <w:lang w:val="en-US"/>
              </w:rPr>
              <w:t>Toronto, ON, Canada M5H 3Y4</w:t>
            </w:r>
          </w:p>
          <w:p w14:paraId="5010ABD3" w14:textId="77777777" w:rsidR="00054B7F" w:rsidRDefault="00054B7F" w:rsidP="000A4FDF">
            <w:pPr>
              <w:tabs>
                <w:tab w:val="left" w:pos="144"/>
              </w:tabs>
              <w:autoSpaceDE w:val="0"/>
              <w:autoSpaceDN w:val="0"/>
              <w:adjustRightInd w:val="0"/>
              <w:spacing w:after="0"/>
              <w:rPr>
                <w:rFonts w:ascii="Arial" w:hAnsi="Arial" w:cs="Arial"/>
                <w:sz w:val="16"/>
                <w:szCs w:val="16"/>
              </w:rPr>
            </w:pPr>
            <w:r>
              <w:rPr>
                <w:rFonts w:ascii="Arial" w:hAnsi="Arial" w:cs="Arial"/>
                <w:sz w:val="16"/>
                <w:szCs w:val="16"/>
                <w:lang w:val="fr-FR"/>
              </w:rPr>
              <w:t>T</w:t>
            </w:r>
            <w:r>
              <w:rPr>
                <w:rFonts w:ascii="Arial" w:hAnsi="Arial" w:cs="Arial"/>
                <w:sz w:val="16"/>
                <w:szCs w:val="16"/>
                <w:lang w:val="fr-FR"/>
              </w:rPr>
              <w:tab/>
            </w:r>
            <w:r>
              <w:rPr>
                <w:rFonts w:ascii="Arial" w:hAnsi="Arial" w:cs="Arial"/>
                <w:sz w:val="16"/>
                <w:szCs w:val="16"/>
              </w:rPr>
              <w:t>416.367.6000</w:t>
            </w:r>
          </w:p>
          <w:p w14:paraId="5010ABD4" w14:textId="77777777" w:rsidR="00054B7F" w:rsidRDefault="00054B7F" w:rsidP="000A4FDF">
            <w:pPr>
              <w:tabs>
                <w:tab w:val="left" w:pos="144"/>
              </w:tabs>
              <w:autoSpaceDE w:val="0"/>
              <w:autoSpaceDN w:val="0"/>
              <w:adjustRightInd w:val="0"/>
              <w:spacing w:after="0"/>
              <w:rPr>
                <w:rFonts w:ascii="Arial" w:hAnsi="Arial" w:cs="Arial"/>
                <w:sz w:val="16"/>
                <w:szCs w:val="16"/>
              </w:rPr>
            </w:pPr>
            <w:r>
              <w:rPr>
                <w:rFonts w:ascii="Arial" w:hAnsi="Arial" w:cs="Arial"/>
                <w:sz w:val="16"/>
                <w:szCs w:val="16"/>
              </w:rPr>
              <w:t>F</w:t>
            </w:r>
            <w:r>
              <w:rPr>
                <w:rFonts w:ascii="Arial" w:hAnsi="Arial" w:cs="Arial"/>
                <w:sz w:val="16"/>
                <w:szCs w:val="16"/>
              </w:rPr>
              <w:tab/>
              <w:t>416.367.6749</w:t>
            </w:r>
          </w:p>
          <w:p w14:paraId="5010ABD5" w14:textId="77777777" w:rsidR="00C07511" w:rsidRDefault="00054B7F" w:rsidP="000A4FDF">
            <w:pPr>
              <w:pStyle w:val="BLGLetterClosing"/>
            </w:pPr>
            <w:r>
              <w:rPr>
                <w:rFonts w:ascii="Arial" w:hAnsi="Arial" w:cs="Arial"/>
                <w:sz w:val="16"/>
                <w:szCs w:val="16"/>
              </w:rPr>
              <w:t>blg.com</w:t>
            </w:r>
            <w:bookmarkStart w:id="11" w:name="AddF"/>
            <w:bookmarkEnd w:id="11"/>
            <w:r>
              <w:t xml:space="preserve"> </w:t>
            </w:r>
          </w:p>
        </w:tc>
        <w:tc>
          <w:tcPr>
            <w:tcW w:w="3284" w:type="dxa"/>
          </w:tcPr>
          <w:p w14:paraId="5010ABD6" w14:textId="77777777" w:rsidR="00C07511" w:rsidRDefault="00E86616">
            <w:pPr>
              <w:pStyle w:val="BLGLetterClosing"/>
              <w:jc w:val="right"/>
            </w:pPr>
            <w:bookmarkStart w:id="12" w:name="BLGLogo"/>
            <w:r>
              <w:rPr>
                <w:noProof/>
                <w:lang w:eastAsia="en-CA"/>
              </w:rPr>
              <w:drawing>
                <wp:inline distT="0" distB="0" distL="0" distR="0" wp14:anchorId="5010AC1A" wp14:editId="5010AC1B">
                  <wp:extent cx="1571625" cy="609600"/>
                  <wp:effectExtent l="0" t="0" r="9525" b="0"/>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_Internal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bookmarkEnd w:id="12"/>
          </w:p>
        </w:tc>
      </w:tr>
    </w:tbl>
    <w:p w14:paraId="5010ABD8" w14:textId="77777777" w:rsidR="00037133" w:rsidRDefault="00037133" w:rsidP="00075EFF">
      <w:bookmarkStart w:id="13" w:name="FileText"/>
      <w:bookmarkStart w:id="14" w:name="File"/>
      <w:bookmarkStart w:id="15" w:name="Date"/>
      <w:bookmarkEnd w:id="13"/>
      <w:bookmarkEnd w:id="14"/>
      <w:bookmarkEnd w:id="15"/>
    </w:p>
    <w:p w14:paraId="5010ABD9" w14:textId="77777777" w:rsidR="00B358BB" w:rsidRPr="00957D1D" w:rsidRDefault="00B358BB" w:rsidP="00075EFF">
      <w:pPr>
        <w:rPr>
          <w:b/>
        </w:rPr>
      </w:pPr>
      <w:r w:rsidRPr="00957D1D">
        <w:rPr>
          <w:b/>
        </w:rPr>
        <w:t>PRIVILEGED AND CONFIDENTIAL</w:t>
      </w:r>
    </w:p>
    <w:p w14:paraId="5010ABDA" w14:textId="77777777" w:rsidR="00C07511" w:rsidRPr="00957D1D" w:rsidRDefault="006B6154" w:rsidP="00075EFF">
      <w:r>
        <w:t>November 21</w:t>
      </w:r>
      <w:r w:rsidR="002D590C" w:rsidRPr="00957D1D">
        <w:t>, 2016</w:t>
      </w:r>
    </w:p>
    <w:p w14:paraId="5010ABDB" w14:textId="77777777" w:rsidR="003E2329" w:rsidRPr="00957D1D" w:rsidRDefault="003E2329" w:rsidP="00075EFF">
      <w:pPr>
        <w:rPr>
          <w:b/>
        </w:rPr>
      </w:pPr>
      <w:r w:rsidRPr="00957D1D">
        <w:rPr>
          <w:b/>
        </w:rPr>
        <w:t>Delivered by Email</w:t>
      </w:r>
      <w:r w:rsidR="00267DCD">
        <w:rPr>
          <w:b/>
        </w:rPr>
        <w:t xml:space="preserve"> and Regular Mail</w:t>
      </w:r>
    </w:p>
    <w:p w14:paraId="5010ABDC" w14:textId="77777777" w:rsidR="00C07511" w:rsidRPr="00B42BF1" w:rsidRDefault="00856AA0" w:rsidP="00957D1D">
      <w:pPr>
        <w:spacing w:after="0"/>
      </w:pPr>
      <w:bookmarkStart w:id="16" w:name="Delivery"/>
      <w:bookmarkStart w:id="17" w:name="To"/>
      <w:bookmarkEnd w:id="16"/>
      <w:bookmarkEnd w:id="17"/>
      <w:r>
        <w:t xml:space="preserve">Ms. </w:t>
      </w:r>
      <w:r w:rsidR="006B6154">
        <w:t>Angela Kennedy</w:t>
      </w:r>
    </w:p>
    <w:p w14:paraId="5010ABDD" w14:textId="77777777" w:rsidR="0044441F" w:rsidRPr="00B42BF1" w:rsidRDefault="006B6154" w:rsidP="00957D1D">
      <w:pPr>
        <w:spacing w:after="0"/>
      </w:pPr>
      <w:r>
        <w:t>Chair of the Board</w:t>
      </w:r>
    </w:p>
    <w:p w14:paraId="5010ABDE" w14:textId="77777777" w:rsidR="0044441F" w:rsidRPr="00B42BF1" w:rsidRDefault="006B6154" w:rsidP="00957D1D">
      <w:pPr>
        <w:spacing w:after="0"/>
      </w:pPr>
      <w:r>
        <w:t>Toronto Catholic District School Board</w:t>
      </w:r>
      <w:r>
        <w:tab/>
      </w:r>
    </w:p>
    <w:p w14:paraId="5010ABDF" w14:textId="77777777" w:rsidR="0044441F" w:rsidRPr="00B42BF1" w:rsidRDefault="006B6154" w:rsidP="00957D1D">
      <w:pPr>
        <w:spacing w:after="0"/>
      </w:pPr>
      <w:r>
        <w:t>80 Sheppard Avenue East</w:t>
      </w:r>
    </w:p>
    <w:p w14:paraId="5010ABE0" w14:textId="77777777" w:rsidR="0044441F" w:rsidRPr="00B42BF1" w:rsidRDefault="006B6154" w:rsidP="00957D1D">
      <w:pPr>
        <w:spacing w:after="0"/>
      </w:pPr>
      <w:r>
        <w:t>Toronto</w:t>
      </w:r>
      <w:r w:rsidR="0044441F" w:rsidRPr="00B42BF1">
        <w:t>, Ontario</w:t>
      </w:r>
    </w:p>
    <w:p w14:paraId="5010ABE1" w14:textId="77777777" w:rsidR="0044441F" w:rsidRPr="00B42BF1" w:rsidRDefault="006B6154" w:rsidP="00075EFF">
      <w:r>
        <w:t>M2N 6E8</w:t>
      </w:r>
    </w:p>
    <w:p w14:paraId="5010ABE2" w14:textId="77777777" w:rsidR="00C07511" w:rsidRPr="00B42BF1" w:rsidRDefault="002D590C" w:rsidP="00075EFF">
      <w:bookmarkStart w:id="18" w:name="Salutation"/>
      <w:bookmarkEnd w:id="18"/>
      <w:r w:rsidRPr="00B42BF1">
        <w:t>Dear</w:t>
      </w:r>
      <w:r w:rsidR="00640E53" w:rsidRPr="00B42BF1">
        <w:t xml:space="preserve"> </w:t>
      </w:r>
      <w:r w:rsidR="00A55A28">
        <w:t xml:space="preserve">Ms. </w:t>
      </w:r>
      <w:r w:rsidR="006B6154">
        <w:t>Kennedy</w:t>
      </w:r>
      <w:r w:rsidR="00025E80" w:rsidRPr="00B42BF1">
        <w:t>:</w:t>
      </w:r>
    </w:p>
    <w:p w14:paraId="5010ABE3" w14:textId="77777777" w:rsidR="00C07511" w:rsidRPr="00B42BF1" w:rsidRDefault="00C07511" w:rsidP="00075EFF">
      <w:pPr>
        <w:sectPr w:rsidR="00C07511" w:rsidRPr="00B42BF1" w:rsidSect="007F03D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36" w:right="1080" w:bottom="1080" w:left="1728" w:header="720" w:footer="720" w:gutter="0"/>
          <w:cols w:space="720"/>
          <w:titlePg/>
          <w:docGrid w:linePitch="360"/>
        </w:sectPr>
      </w:pPr>
    </w:p>
    <w:tbl>
      <w:tblPr>
        <w:tblW w:w="0" w:type="auto"/>
        <w:tblLook w:val="0000" w:firstRow="0" w:lastRow="0" w:firstColumn="0" w:lastColumn="0" w:noHBand="0" w:noVBand="0"/>
      </w:tblPr>
      <w:tblGrid>
        <w:gridCol w:w="1008"/>
        <w:gridCol w:w="7848"/>
      </w:tblGrid>
      <w:tr w:rsidR="00C07511" w:rsidRPr="00957D1D" w14:paraId="5010ABE6" w14:textId="77777777">
        <w:trPr>
          <w:trHeight w:val="702"/>
        </w:trPr>
        <w:tc>
          <w:tcPr>
            <w:tcW w:w="1008" w:type="dxa"/>
          </w:tcPr>
          <w:p w14:paraId="5010ABE4" w14:textId="77777777" w:rsidR="00C07511" w:rsidRPr="00957D1D" w:rsidRDefault="008D59A4" w:rsidP="00075EFF">
            <w:pPr>
              <w:rPr>
                <w:b/>
              </w:rPr>
            </w:pPr>
            <w:r w:rsidRPr="00957D1D">
              <w:rPr>
                <w:b/>
              </w:rPr>
              <w:lastRenderedPageBreak/>
              <w:t>Re:</w:t>
            </w:r>
          </w:p>
        </w:tc>
        <w:tc>
          <w:tcPr>
            <w:tcW w:w="7848" w:type="dxa"/>
          </w:tcPr>
          <w:p w14:paraId="5010ABE5" w14:textId="77777777" w:rsidR="00ED02AF" w:rsidRPr="00957D1D" w:rsidRDefault="006B6154" w:rsidP="00B43133">
            <w:pPr>
              <w:rPr>
                <w:b/>
              </w:rPr>
            </w:pPr>
            <w:bookmarkStart w:id="19" w:name="Reference"/>
            <w:bookmarkEnd w:id="19"/>
            <w:r>
              <w:rPr>
                <w:b/>
              </w:rPr>
              <w:t>Trustee Expenditures Policies and Practices</w:t>
            </w:r>
            <w:r w:rsidR="00971DC1">
              <w:rPr>
                <w:b/>
              </w:rPr>
              <w:t xml:space="preserve"> </w:t>
            </w:r>
          </w:p>
        </w:tc>
      </w:tr>
    </w:tbl>
    <w:p w14:paraId="5010ABE7" w14:textId="77777777" w:rsidR="0092769D" w:rsidRDefault="00446641" w:rsidP="00E7267D">
      <w:bookmarkStart w:id="20" w:name="Text"/>
      <w:bookmarkEnd w:id="20"/>
      <w:r>
        <w:t>We are writing in response to you</w:t>
      </w:r>
      <w:r w:rsidR="007D6DBF">
        <w:t xml:space="preserve">r request for an </w:t>
      </w:r>
      <w:r w:rsidR="00645493">
        <w:t>opinion</w:t>
      </w:r>
      <w:r>
        <w:t xml:space="preserve"> regarding </w:t>
      </w:r>
      <w:r w:rsidR="00CC4955">
        <w:t>the</w:t>
      </w:r>
      <w:r w:rsidR="006B6154">
        <w:t xml:space="preserve"> scope and application of the Toronto Catholic District School Board’s (the “Board”) Trustee Services and Expenditures Policy (the “Policy). Specifically, you have asked us whether trustees are permitted under the Policy and applicable legislation</w:t>
      </w:r>
      <w:r w:rsidR="00E4433F">
        <w:t xml:space="preserve"> to donate any surplus funds allocated for expenses to local schools, rather than reimburse the surplus funds to the Board.</w:t>
      </w:r>
    </w:p>
    <w:p w14:paraId="5010ABE8" w14:textId="77777777" w:rsidR="00EC686D" w:rsidRDefault="002B0402" w:rsidP="00446641">
      <w:r>
        <w:rPr>
          <w:b/>
          <w:u w:val="single"/>
        </w:rPr>
        <w:t>BACKGROUND</w:t>
      </w:r>
    </w:p>
    <w:p w14:paraId="5010ABE9" w14:textId="77777777" w:rsidR="00E4433F" w:rsidRDefault="002B0402" w:rsidP="00E4433F">
      <w:r>
        <w:t xml:space="preserve">We understand </w:t>
      </w:r>
      <w:r w:rsidR="00E4433F">
        <w:t>trustees at the Board receive an annual budget for expenses associated with the execution of their role as trustees. The rules and regulations regarding the reimbursement of expenses are outlined in the Policy.</w:t>
      </w:r>
    </w:p>
    <w:p w14:paraId="5010ABEA" w14:textId="77777777" w:rsidR="00E4433F" w:rsidRPr="002B0402" w:rsidRDefault="00E4433F" w:rsidP="00E4433F">
      <w:r>
        <w:t>We further understand that the Board provides trustees with a lump sum payment in order to reimburse them for out-of-pocket expenses required to carry out their responsibilities as a member of the Board.</w:t>
      </w:r>
      <w:r w:rsidR="00D25117">
        <w:t xml:space="preserve"> The lump sum payment is provided proactively and is expected to cover any expenses for the upcoming year.</w:t>
      </w:r>
      <w:r>
        <w:t xml:space="preserve"> However, from time to time, the trustees do not use the entire lump sum payment over the course of the year. As such, it has become Board practice for trustees to donate any </w:t>
      </w:r>
      <w:r w:rsidR="00D25117">
        <w:t>surplus funds to a local school(s). We understand that there currently no policy or procedure in place for determining the allocation of these surplus funds.</w:t>
      </w:r>
    </w:p>
    <w:p w14:paraId="5010ABEB" w14:textId="77777777" w:rsidR="00E77DAC" w:rsidRPr="002B0402" w:rsidRDefault="00E77DAC" w:rsidP="00446641"/>
    <w:p w14:paraId="5010ABEC" w14:textId="77777777" w:rsidR="002C3C9F" w:rsidRDefault="002C3C9F" w:rsidP="002C3C9F">
      <w:pPr>
        <w:keepNext/>
        <w:rPr>
          <w:rStyle w:val="Style11ptBold"/>
          <w:rFonts w:asciiTheme="minorHAnsi" w:hAnsiTheme="minorHAnsi" w:cstheme="minorHAnsi"/>
          <w:caps/>
          <w:sz w:val="22"/>
          <w:u w:val="single"/>
        </w:rPr>
      </w:pPr>
      <w:r>
        <w:rPr>
          <w:rStyle w:val="Style11ptBoldUnderline"/>
          <w:rFonts w:asciiTheme="minorHAnsi" w:hAnsiTheme="minorHAnsi" w:cstheme="minorHAnsi"/>
          <w:caps/>
        </w:rPr>
        <w:lastRenderedPageBreak/>
        <w:t>Legal Analysis</w:t>
      </w:r>
    </w:p>
    <w:p w14:paraId="5010ABED" w14:textId="77777777" w:rsidR="00DF7C76" w:rsidRDefault="00DF7C76" w:rsidP="003B7FAC">
      <w:pPr>
        <w:pStyle w:val="BodyText"/>
        <w:keepNext/>
        <w:rPr>
          <w:rStyle w:val="Strong"/>
          <w:b w:val="0"/>
        </w:rPr>
      </w:pPr>
      <w:r w:rsidRPr="00DF7C76">
        <w:rPr>
          <w:rStyle w:val="Strong"/>
          <w:i/>
        </w:rPr>
        <w:t>Ed</w:t>
      </w:r>
      <w:r>
        <w:rPr>
          <w:rStyle w:val="Strong"/>
          <w:i/>
        </w:rPr>
        <w:t>ucation A</w:t>
      </w:r>
      <w:r w:rsidRPr="00DF7C76">
        <w:rPr>
          <w:rStyle w:val="Strong"/>
          <w:i/>
        </w:rPr>
        <w:t>ct</w:t>
      </w:r>
    </w:p>
    <w:p w14:paraId="5010ABEE" w14:textId="77777777" w:rsidR="00DF7C76" w:rsidRDefault="000D713F" w:rsidP="003B7FAC">
      <w:pPr>
        <w:pStyle w:val="BodyText"/>
        <w:keepNext/>
      </w:pPr>
      <w:r>
        <w:t xml:space="preserve">Section 191.2 of the </w:t>
      </w:r>
      <w:r>
        <w:rPr>
          <w:i/>
        </w:rPr>
        <w:t>Education Act</w:t>
      </w:r>
      <w:r>
        <w:t xml:space="preserve"> (the “Act”) provides as follows with respect to expenses</w:t>
      </w:r>
      <w:r w:rsidR="00A501FF">
        <w:t xml:space="preserve"> for members of the Board</w:t>
      </w:r>
      <w:r>
        <w:t>:</w:t>
      </w:r>
    </w:p>
    <w:p w14:paraId="5010ABEF" w14:textId="77777777" w:rsidR="00A501FF" w:rsidRPr="00A501FF" w:rsidRDefault="00A501FF" w:rsidP="00A501FF">
      <w:pPr>
        <w:pStyle w:val="Heading4"/>
        <w:ind w:left="720" w:right="792"/>
        <w:rPr>
          <w:i w:val="0"/>
          <w:lang w:val="en"/>
        </w:rPr>
      </w:pPr>
      <w:r w:rsidRPr="00A501FF">
        <w:rPr>
          <w:bCs w:val="0"/>
          <w:i w:val="0"/>
          <w:lang w:val="en"/>
        </w:rPr>
        <w:t>Expenses</w:t>
      </w:r>
    </w:p>
    <w:p w14:paraId="5010ABF0" w14:textId="77777777" w:rsidR="00A501FF" w:rsidRDefault="00A501FF" w:rsidP="00A501FF">
      <w:pPr>
        <w:pStyle w:val="Heading4"/>
        <w:ind w:left="720" w:right="792"/>
        <w:rPr>
          <w:rFonts w:cs="Helvetica"/>
          <w:color w:val="222222"/>
          <w:lang w:val="en"/>
        </w:rPr>
      </w:pPr>
      <w:r>
        <w:rPr>
          <w:b w:val="0"/>
          <w:bCs w:val="0"/>
          <w:lang w:val="en"/>
        </w:rPr>
        <w:t>Other expenses</w:t>
      </w:r>
    </w:p>
    <w:bookmarkStart w:id="21" w:name="s191p2s3"/>
    <w:bookmarkEnd w:id="21"/>
    <w:p w14:paraId="5010ABF1" w14:textId="77777777" w:rsidR="00A501FF" w:rsidRDefault="00A501FF" w:rsidP="00A501FF">
      <w:pPr>
        <w:pStyle w:val="subsection-e"/>
        <w:ind w:left="720" w:right="792" w:firstLine="0"/>
        <w:jc w:val="both"/>
        <w:rPr>
          <w:rFonts w:cs="Helvetica"/>
          <w:color w:val="222222"/>
          <w:lang w:val="en"/>
        </w:rPr>
      </w:pPr>
      <w:r w:rsidRPr="00A501FF">
        <w:rPr>
          <w:rFonts w:cs="Helvetica"/>
          <w:b/>
          <w:color w:val="222222"/>
          <w:lang w:val="en"/>
        </w:rPr>
        <w:fldChar w:fldCharType="begin"/>
      </w:r>
      <w:r w:rsidRPr="00A501FF">
        <w:rPr>
          <w:rFonts w:cs="Helvetica"/>
          <w:b/>
          <w:color w:val="222222"/>
          <w:lang w:val="en"/>
        </w:rPr>
        <w:instrText xml:space="preserve"> HYPERLINK "http://www.ontario.ca/fr/lois/loi/90e02" \l "s191p2s3" </w:instrText>
      </w:r>
      <w:r w:rsidRPr="00A501FF">
        <w:rPr>
          <w:rFonts w:cs="Helvetica"/>
          <w:b/>
          <w:color w:val="222222"/>
          <w:lang w:val="en"/>
        </w:rPr>
        <w:fldChar w:fldCharType="separate"/>
      </w:r>
      <w:r w:rsidRPr="00A501FF">
        <w:rPr>
          <w:rStyle w:val="Hyperlink"/>
          <w:rFonts w:cs="Helvetica"/>
          <w:b/>
          <w:lang w:val="en-US"/>
        </w:rPr>
        <w:t>(3)</w:t>
      </w:r>
      <w:r w:rsidRPr="00A501FF">
        <w:rPr>
          <w:rFonts w:cs="Helvetica"/>
          <w:b/>
          <w:color w:val="222222"/>
          <w:lang w:val="en"/>
        </w:rPr>
        <w:fldChar w:fldCharType="end"/>
      </w:r>
      <w:r w:rsidRPr="00A501FF">
        <w:rPr>
          <w:rFonts w:cs="Helvetica"/>
          <w:b/>
          <w:color w:val="222222"/>
          <w:lang w:val="en"/>
        </w:rPr>
        <w:t xml:space="preserve"> </w:t>
      </w:r>
      <w:r>
        <w:rPr>
          <w:rFonts w:cs="Helvetica"/>
          <w:color w:val="222222"/>
          <w:lang w:val="en"/>
        </w:rPr>
        <w:t xml:space="preserve">A board may establish a policy under which a member of the board may be reimbursed for all or part of his or her out-of-pocket expenses reasonably incurred in connection with carrying out the responsibilities of a board member.  </w:t>
      </w:r>
    </w:p>
    <w:p w14:paraId="5010ABF2" w14:textId="77777777" w:rsidR="00A501FF" w:rsidRDefault="00A501FF" w:rsidP="00A501FF">
      <w:pPr>
        <w:pStyle w:val="Heading4"/>
        <w:ind w:left="720" w:right="792"/>
        <w:rPr>
          <w:rFonts w:cs="Helvetica"/>
          <w:color w:val="222222"/>
          <w:lang w:val="en"/>
        </w:rPr>
      </w:pPr>
      <w:r>
        <w:rPr>
          <w:b w:val="0"/>
          <w:bCs w:val="0"/>
          <w:lang w:val="en"/>
        </w:rPr>
        <w:t>Same</w:t>
      </w:r>
    </w:p>
    <w:p w14:paraId="5010ABF3" w14:textId="77777777" w:rsidR="00A501FF" w:rsidRDefault="00A501FF" w:rsidP="00A501FF">
      <w:pPr>
        <w:pStyle w:val="subsection-e"/>
        <w:ind w:left="720" w:right="792" w:firstLine="0"/>
        <w:jc w:val="both"/>
        <w:rPr>
          <w:rFonts w:cs="Helvetica"/>
          <w:color w:val="222222"/>
          <w:lang w:val="en"/>
        </w:rPr>
      </w:pPr>
      <w:bookmarkStart w:id="22" w:name="s191p2s4"/>
      <w:bookmarkEnd w:id="22"/>
      <w:r w:rsidRPr="00A501FF">
        <w:rPr>
          <w:rFonts w:cs="Helvetica"/>
          <w:b/>
          <w:color w:val="222222"/>
          <w:u w:val="single"/>
          <w:lang w:val="en-US"/>
        </w:rPr>
        <w:t>(4)</w:t>
      </w:r>
      <w:r>
        <w:rPr>
          <w:rFonts w:cs="Helvetica"/>
          <w:b/>
          <w:color w:val="222222"/>
          <w:lang w:val="en-US"/>
        </w:rPr>
        <w:t xml:space="preserve"> </w:t>
      </w:r>
      <w:r>
        <w:rPr>
          <w:rFonts w:cs="Helvetica"/>
          <w:color w:val="222222"/>
          <w:lang w:val="en"/>
        </w:rPr>
        <w:t xml:space="preserve">A board may, in accordance with a policy established by it under subsection (3), reimburse a member for his or her out-of-pocket expenses reasonably incurred in connection with carrying out the responsibilities of a board member.  </w:t>
      </w:r>
    </w:p>
    <w:p w14:paraId="5010ABF4" w14:textId="77777777" w:rsidR="007F7E08" w:rsidRDefault="00BD16A9" w:rsidP="00A501FF">
      <w:pPr>
        <w:pStyle w:val="subsection-e"/>
        <w:ind w:right="792" w:firstLine="0"/>
        <w:jc w:val="both"/>
        <w:rPr>
          <w:rFonts w:asciiTheme="minorHAnsi" w:hAnsiTheme="minorHAnsi" w:cstheme="minorHAnsi"/>
          <w:color w:val="222222"/>
          <w:lang w:val="en"/>
        </w:rPr>
      </w:pPr>
      <w:r>
        <w:rPr>
          <w:rFonts w:asciiTheme="minorHAnsi" w:hAnsiTheme="minorHAnsi" w:cstheme="minorHAnsi"/>
          <w:color w:val="222222"/>
          <w:lang w:val="en"/>
        </w:rPr>
        <w:t xml:space="preserve">As such, </w:t>
      </w:r>
      <w:r w:rsidR="00F54DDE">
        <w:rPr>
          <w:rFonts w:asciiTheme="minorHAnsi" w:hAnsiTheme="minorHAnsi" w:cstheme="minorHAnsi"/>
          <w:color w:val="222222"/>
          <w:lang w:val="en"/>
        </w:rPr>
        <w:t xml:space="preserve">it is </w:t>
      </w:r>
      <w:r w:rsidR="007F7E08">
        <w:rPr>
          <w:rFonts w:asciiTheme="minorHAnsi" w:hAnsiTheme="minorHAnsi" w:cstheme="minorHAnsi"/>
          <w:color w:val="222222"/>
          <w:lang w:val="en"/>
        </w:rPr>
        <w:t xml:space="preserve">within the discretion of the Board to draft and implement a policy pursuant to which a trustee may be reimbursed for all out-of-pocket expenses. </w:t>
      </w:r>
    </w:p>
    <w:p w14:paraId="5010ABF5" w14:textId="77777777" w:rsidR="007F7E08" w:rsidRPr="00917606" w:rsidRDefault="007F7E08" w:rsidP="00917606">
      <w:pPr>
        <w:pStyle w:val="BodyText"/>
        <w:keepNext/>
        <w:rPr>
          <w:rStyle w:val="Strong"/>
          <w:i/>
        </w:rPr>
      </w:pPr>
    </w:p>
    <w:p w14:paraId="5010ABF6" w14:textId="77777777" w:rsidR="0004181A" w:rsidRDefault="0004181A" w:rsidP="007F7E08">
      <w:pPr>
        <w:pStyle w:val="BodyText"/>
        <w:keepNext/>
        <w:rPr>
          <w:rStyle w:val="Strong"/>
          <w:b w:val="0"/>
        </w:rPr>
      </w:pPr>
      <w:r>
        <w:rPr>
          <w:rStyle w:val="Strong"/>
          <w:i/>
        </w:rPr>
        <w:t>Broader Public Sector Expenses Directive</w:t>
      </w:r>
    </w:p>
    <w:p w14:paraId="5010ABF7" w14:textId="77777777" w:rsidR="0004181A" w:rsidRDefault="0004181A" w:rsidP="007F7E08">
      <w:pPr>
        <w:pStyle w:val="BodyText"/>
        <w:keepNext/>
        <w:rPr>
          <w:rStyle w:val="Strong"/>
          <w:b w:val="0"/>
        </w:rPr>
      </w:pPr>
      <w:r>
        <w:rPr>
          <w:rStyle w:val="Strong"/>
          <w:b w:val="0"/>
        </w:rPr>
        <w:t xml:space="preserve">Under the </w:t>
      </w:r>
      <w:r>
        <w:rPr>
          <w:rStyle w:val="Strong"/>
          <w:b w:val="0"/>
          <w:i/>
        </w:rPr>
        <w:t>Broader Public Sector Accountability Act, 2010</w:t>
      </w:r>
      <w:r>
        <w:rPr>
          <w:rStyle w:val="Strong"/>
          <w:b w:val="0"/>
        </w:rPr>
        <w:t xml:space="preserve"> (the “BPSAA”), the Management Board of Cabinet has issued the Broader Pu</w:t>
      </w:r>
      <w:r w:rsidR="006825AB">
        <w:rPr>
          <w:rStyle w:val="Strong"/>
          <w:b w:val="0"/>
        </w:rPr>
        <w:t xml:space="preserve">blic Sector Expenses Directive (the “Directive”). The Directive provides high-level principles, such as accountability, transparency, value for money and fairness, upon which expense policies should be based. The Directive requires every public sector organization to establish rules for all individuals in the organization with respect to travel, meal and hospitality expenses. </w:t>
      </w:r>
    </w:p>
    <w:p w14:paraId="5010ABF8" w14:textId="77777777" w:rsidR="006825AB" w:rsidRPr="0004181A" w:rsidRDefault="00C5209C" w:rsidP="007F7E08">
      <w:pPr>
        <w:pStyle w:val="BodyText"/>
        <w:keepNext/>
        <w:rPr>
          <w:rStyle w:val="Strong"/>
          <w:b w:val="0"/>
        </w:rPr>
      </w:pPr>
      <w:r>
        <w:rPr>
          <w:rStyle w:val="Strong"/>
          <w:b w:val="0"/>
        </w:rPr>
        <w:t xml:space="preserve">The purpose of the Directive is to set out the requirement for a designated broader public sector organization to establish rules where expenses are reimbursed from public funds. However, both the BPSAA and the Directive delegate the establishment of the rules and their specifications to broader public sector organizations, such as the Board. </w:t>
      </w:r>
    </w:p>
    <w:p w14:paraId="5010ABF9" w14:textId="77777777" w:rsidR="00917606" w:rsidRDefault="00917606" w:rsidP="007F7E08">
      <w:pPr>
        <w:pStyle w:val="BodyText"/>
        <w:keepNext/>
        <w:rPr>
          <w:rStyle w:val="Strong"/>
          <w:i/>
        </w:rPr>
      </w:pPr>
    </w:p>
    <w:p w14:paraId="5010ABFA" w14:textId="77777777" w:rsidR="00A501FF" w:rsidRDefault="00A501FF" w:rsidP="007F7E08">
      <w:pPr>
        <w:pStyle w:val="BodyText"/>
        <w:keepNext/>
        <w:rPr>
          <w:rStyle w:val="Strong"/>
          <w:i/>
        </w:rPr>
      </w:pPr>
      <w:r>
        <w:rPr>
          <w:rStyle w:val="Strong"/>
          <w:i/>
        </w:rPr>
        <w:t>Trustee Services and Expenditure Policy</w:t>
      </w:r>
    </w:p>
    <w:p w14:paraId="5010ABFB" w14:textId="77777777" w:rsidR="00A501FF" w:rsidRDefault="00A501FF" w:rsidP="00A501FF">
      <w:pPr>
        <w:pStyle w:val="subsection-e"/>
        <w:ind w:right="-18" w:firstLine="0"/>
        <w:jc w:val="both"/>
        <w:rPr>
          <w:bCs/>
        </w:rPr>
      </w:pPr>
      <w:r>
        <w:rPr>
          <w:bCs/>
        </w:rPr>
        <w:t>The Policy governs the manner in which the Board shall provide equipment and support services, reimburse trustees for professional development activities and specified out-of-pocket expenses required to carry out their responsibilities as a member of the Board. The Policy confirms that “Only expenses expressly permitted in this policy will be eligible for compensation.”</w:t>
      </w:r>
    </w:p>
    <w:p w14:paraId="5010ABFC" w14:textId="77777777" w:rsidR="00A501FF" w:rsidRDefault="00A501FF" w:rsidP="00A501FF">
      <w:pPr>
        <w:pStyle w:val="subsection-e"/>
        <w:ind w:right="-18" w:firstLine="0"/>
        <w:jc w:val="both"/>
        <w:rPr>
          <w:bCs/>
        </w:rPr>
      </w:pPr>
      <w:r>
        <w:rPr>
          <w:bCs/>
        </w:rPr>
        <w:t>The Policy enumerates several categories of expenses, which are permitted for reimbursement, as follows:</w:t>
      </w:r>
    </w:p>
    <w:p w14:paraId="5010ABFD" w14:textId="77777777" w:rsidR="00A501FF" w:rsidRDefault="00A501FF" w:rsidP="00A501FF">
      <w:pPr>
        <w:pStyle w:val="subsection-e"/>
        <w:numPr>
          <w:ilvl w:val="0"/>
          <w:numId w:val="14"/>
        </w:numPr>
        <w:ind w:right="792"/>
        <w:jc w:val="both"/>
        <w:rPr>
          <w:bCs/>
        </w:rPr>
      </w:pPr>
      <w:r>
        <w:rPr>
          <w:bCs/>
        </w:rPr>
        <w:t>Equipment (home based computer, cell phone, filing cabinet, etc.);</w:t>
      </w:r>
    </w:p>
    <w:p w14:paraId="5010ABFE" w14:textId="77777777" w:rsidR="00A501FF" w:rsidRDefault="00A501FF" w:rsidP="00A501FF">
      <w:pPr>
        <w:pStyle w:val="subsection-e"/>
        <w:numPr>
          <w:ilvl w:val="0"/>
          <w:numId w:val="14"/>
        </w:numPr>
        <w:ind w:right="792"/>
        <w:jc w:val="both"/>
        <w:rPr>
          <w:bCs/>
        </w:rPr>
      </w:pPr>
      <w:r>
        <w:rPr>
          <w:bCs/>
        </w:rPr>
        <w:lastRenderedPageBreak/>
        <w:t>Support services (newsletters, courtier delivery, photocopying, etc.);</w:t>
      </w:r>
    </w:p>
    <w:p w14:paraId="5010ABFF" w14:textId="77777777" w:rsidR="00A501FF" w:rsidRDefault="00A501FF" w:rsidP="00A501FF">
      <w:pPr>
        <w:pStyle w:val="subsection-e"/>
        <w:numPr>
          <w:ilvl w:val="0"/>
          <w:numId w:val="14"/>
        </w:numPr>
        <w:ind w:right="792"/>
        <w:jc w:val="both"/>
        <w:rPr>
          <w:bCs/>
        </w:rPr>
      </w:pPr>
      <w:r>
        <w:rPr>
          <w:bCs/>
        </w:rPr>
        <w:t>Professional development (educational publications, conference registration, individual memberships in educational organizations, etc.);</w:t>
      </w:r>
    </w:p>
    <w:p w14:paraId="5010AC00" w14:textId="77777777" w:rsidR="00A501FF" w:rsidRDefault="00A501FF" w:rsidP="00A501FF">
      <w:pPr>
        <w:pStyle w:val="subsection-e"/>
        <w:numPr>
          <w:ilvl w:val="0"/>
          <w:numId w:val="14"/>
        </w:numPr>
        <w:ind w:right="792"/>
        <w:jc w:val="both"/>
        <w:rPr>
          <w:bCs/>
        </w:rPr>
      </w:pPr>
      <w:r>
        <w:rPr>
          <w:bCs/>
        </w:rPr>
        <w:t>Travel on Board business; and</w:t>
      </w:r>
    </w:p>
    <w:p w14:paraId="5010AC01" w14:textId="77777777" w:rsidR="00A501FF" w:rsidRDefault="00A501FF" w:rsidP="00A501FF">
      <w:pPr>
        <w:pStyle w:val="subsection-e"/>
        <w:numPr>
          <w:ilvl w:val="0"/>
          <w:numId w:val="14"/>
        </w:numPr>
        <w:ind w:right="792"/>
        <w:jc w:val="both"/>
        <w:rPr>
          <w:bCs/>
        </w:rPr>
      </w:pPr>
      <w:r>
        <w:rPr>
          <w:bCs/>
        </w:rPr>
        <w:t>Additional out of pocket expenses (Community and/or student recognition, fees for information requests, etc.)</w:t>
      </w:r>
      <w:r w:rsidR="00681291">
        <w:rPr>
          <w:bCs/>
        </w:rPr>
        <w:t>.</w:t>
      </w:r>
    </w:p>
    <w:p w14:paraId="5010AC02" w14:textId="77777777" w:rsidR="00A501FF" w:rsidRDefault="00A501FF" w:rsidP="00A501FF">
      <w:pPr>
        <w:pStyle w:val="subsection-e"/>
        <w:ind w:right="-18" w:firstLine="0"/>
        <w:jc w:val="both"/>
        <w:rPr>
          <w:bCs/>
        </w:rPr>
      </w:pPr>
      <w:r w:rsidRPr="00A501FF">
        <w:rPr>
          <w:bCs/>
        </w:rPr>
        <w:t>In addition, all trustee expenses “will be posted quarterly to the Board Web Site and reported publicly to the appropriate Committee of the Board…”</w:t>
      </w:r>
      <w:r w:rsidR="0004181A">
        <w:rPr>
          <w:bCs/>
        </w:rPr>
        <w:t xml:space="preserve"> in accordance with the Policy.</w:t>
      </w:r>
    </w:p>
    <w:p w14:paraId="5010AC03" w14:textId="77777777" w:rsidR="00A501FF" w:rsidRDefault="00A501FF" w:rsidP="00A501FF">
      <w:pPr>
        <w:pStyle w:val="subsection-e"/>
        <w:ind w:right="-18" w:firstLine="0"/>
        <w:jc w:val="both"/>
        <w:rPr>
          <w:bCs/>
        </w:rPr>
      </w:pPr>
      <w:r>
        <w:rPr>
          <w:bCs/>
        </w:rPr>
        <w:t>Finally, the section entitled General Provisions in the Policy states as follows:</w:t>
      </w:r>
    </w:p>
    <w:p w14:paraId="5010AC04" w14:textId="77777777" w:rsidR="00A501FF" w:rsidRDefault="00A501FF" w:rsidP="00A501FF">
      <w:pPr>
        <w:pStyle w:val="subsection-e"/>
        <w:numPr>
          <w:ilvl w:val="0"/>
          <w:numId w:val="13"/>
        </w:numPr>
        <w:ind w:left="1080" w:right="792"/>
        <w:jc w:val="both"/>
        <w:rPr>
          <w:bCs/>
        </w:rPr>
      </w:pPr>
      <w:r>
        <w:rPr>
          <w:bCs/>
        </w:rPr>
        <w:t>No transfer of funds is permitted between the various budgets established to support Trustee Services and Expenditures.</w:t>
      </w:r>
    </w:p>
    <w:p w14:paraId="5010AC05" w14:textId="77777777" w:rsidR="00A501FF" w:rsidRPr="00A501FF" w:rsidRDefault="00A501FF" w:rsidP="00A501FF">
      <w:pPr>
        <w:pStyle w:val="subsection-e"/>
        <w:numPr>
          <w:ilvl w:val="0"/>
          <w:numId w:val="13"/>
        </w:numPr>
        <w:ind w:left="1080" w:right="792"/>
        <w:jc w:val="both"/>
        <w:rPr>
          <w:bCs/>
        </w:rPr>
      </w:pPr>
      <w:r w:rsidRPr="00A501FF">
        <w:rPr>
          <w:bCs/>
        </w:rPr>
        <w:t>Unspent funds in the Trustee Services Budget cannot be carried forward to the next Trustees’ budget year.</w:t>
      </w:r>
    </w:p>
    <w:p w14:paraId="5010AC06" w14:textId="77777777" w:rsidR="00A501FF" w:rsidRDefault="00A501FF" w:rsidP="00A501FF">
      <w:pPr>
        <w:pStyle w:val="BodyText"/>
        <w:keepNext/>
        <w:rPr>
          <w:rStyle w:val="Strong"/>
          <w:rFonts w:ascii="Times New Roman Bold" w:hAnsi="Times New Roman Bold"/>
          <w:caps/>
          <w:u w:val="single"/>
        </w:rPr>
      </w:pPr>
      <w:r>
        <w:rPr>
          <w:bCs/>
        </w:rPr>
        <w:t>The Policy provides that the budget year for trustee expenses is from December 1 until November 30</w:t>
      </w:r>
      <w:r w:rsidRPr="00DF7C76">
        <w:rPr>
          <w:bCs/>
          <w:vertAlign w:val="superscript"/>
        </w:rPr>
        <w:t>th</w:t>
      </w:r>
      <w:r>
        <w:rPr>
          <w:bCs/>
        </w:rPr>
        <w:t xml:space="preserve"> the following year.</w:t>
      </w:r>
    </w:p>
    <w:p w14:paraId="5010AC07" w14:textId="77777777" w:rsidR="003B7FAC" w:rsidRPr="003B7FAC" w:rsidRDefault="00DB49F5" w:rsidP="003B7FAC">
      <w:pPr>
        <w:pStyle w:val="BodyText"/>
        <w:keepNext/>
        <w:rPr>
          <w:rFonts w:ascii="Times New Roman Bold" w:hAnsi="Times New Roman Bold"/>
          <w:b/>
          <w:bCs/>
          <w:caps/>
          <w:u w:val="single"/>
        </w:rPr>
      </w:pPr>
      <w:r w:rsidRPr="0002532A">
        <w:rPr>
          <w:rStyle w:val="Strong"/>
          <w:rFonts w:ascii="Times New Roman Bold" w:hAnsi="Times New Roman Bold"/>
          <w:caps/>
          <w:u w:val="single"/>
        </w:rPr>
        <w:t>A</w:t>
      </w:r>
      <w:r w:rsidR="00CB1DA5" w:rsidRPr="0002532A">
        <w:rPr>
          <w:rStyle w:val="Strong"/>
          <w:rFonts w:ascii="Times New Roman Bold" w:hAnsi="Times New Roman Bold"/>
          <w:caps/>
          <w:u w:val="single"/>
        </w:rPr>
        <w:t>nalysis and Conclusion</w:t>
      </w:r>
    </w:p>
    <w:p w14:paraId="5010AC08" w14:textId="77777777" w:rsidR="00A26186" w:rsidRDefault="007F7E08" w:rsidP="007F7E08">
      <w:r>
        <w:t xml:space="preserve">The Policy </w:t>
      </w:r>
      <w:r w:rsidR="00C5209C">
        <w:t>spe</w:t>
      </w:r>
      <w:r w:rsidR="00C06F86">
        <w:t xml:space="preserve">cifically provides that </w:t>
      </w:r>
      <w:r w:rsidR="00CD2385">
        <w:t>expense fu</w:t>
      </w:r>
      <w:r w:rsidR="00C5209C">
        <w:t xml:space="preserve">nds shall not be carried over to a subsequent year. </w:t>
      </w:r>
      <w:r w:rsidR="00CD2385">
        <w:t>The Policy</w:t>
      </w:r>
      <w:r w:rsidR="00C5209C">
        <w:t xml:space="preserve"> does not contemplate what happens when there are funds leftover on November 30 of any given </w:t>
      </w:r>
      <w:r w:rsidR="00681291">
        <w:t xml:space="preserve">budget </w:t>
      </w:r>
      <w:r w:rsidR="00C5209C">
        <w:t>year. However, the Policy clearly states that trustees may only be reimbursed for expenses “expressly permitted” by the P</w:t>
      </w:r>
      <w:r w:rsidR="00CD2385">
        <w:t>olicy and the Policy provides extensive examples to illustrate the nature of expenses that may be reimbursed</w:t>
      </w:r>
      <w:r w:rsidR="00C06F86">
        <w:t>, such as equipment, support services and professional development</w:t>
      </w:r>
      <w:r w:rsidR="00CD2385">
        <w:t>.</w:t>
      </w:r>
    </w:p>
    <w:p w14:paraId="5010AC09" w14:textId="77777777" w:rsidR="00C5209C" w:rsidRDefault="007C0F49" w:rsidP="00967A89">
      <w:r>
        <w:t xml:space="preserve">In our view, </w:t>
      </w:r>
      <w:r w:rsidR="007F7E08">
        <w:t>the Policy as currently drafted does not permit trustees to donate any surplus in his or her expense budget to a local school(s) because such a donation is not specifically contemplated in the Policy. Further, s</w:t>
      </w:r>
      <w:r w:rsidR="00CD2385">
        <w:t>uch a donation cannot reasonably</w:t>
      </w:r>
      <w:r w:rsidR="007F7E08">
        <w:t xml:space="preserve"> be interpreted to fall into one of the enumerated categories of expenses under the Policy. </w:t>
      </w:r>
    </w:p>
    <w:p w14:paraId="5010AC0A" w14:textId="77777777" w:rsidR="00CD2385" w:rsidRDefault="00CD2385" w:rsidP="00967A89">
      <w:r>
        <w:t>In light of the above, w</w:t>
      </w:r>
      <w:r w:rsidR="00C5209C">
        <w:t xml:space="preserve">e recommend including specific language in the Policy to address the procedures to follow when a trustee has a surplus in his or her expense budget at the end of a year in order to </w:t>
      </w:r>
      <w:r w:rsidR="002D33FD">
        <w:t>reduce</w:t>
      </w:r>
      <w:r w:rsidR="00C5209C">
        <w:t xml:space="preserve"> ambiguity. </w:t>
      </w:r>
      <w:r>
        <w:t>The Board may, for example, elect to have the surplus expense funds returned to the Board on November 30</w:t>
      </w:r>
      <w:r w:rsidR="00724ACC">
        <w:t>, or shortly thereafter,</w:t>
      </w:r>
      <w:r>
        <w:t xml:space="preserve"> of each year. </w:t>
      </w:r>
    </w:p>
    <w:p w14:paraId="5010AC0B" w14:textId="77777777" w:rsidR="00C06F86" w:rsidRDefault="00CD2385" w:rsidP="00967A89">
      <w:pPr>
        <w:rPr>
          <w:rStyle w:val="Strong"/>
          <w:b w:val="0"/>
        </w:rPr>
      </w:pPr>
      <w:r>
        <w:t>The Board may alternatively consider permitting the surplus expense funds to be donated to a local school(s)</w:t>
      </w:r>
      <w:r w:rsidR="007750B9">
        <w:t xml:space="preserve"> under</w:t>
      </w:r>
      <w:r w:rsidR="00724ACC">
        <w:t xml:space="preserve"> the Policy</w:t>
      </w:r>
      <w:r>
        <w:t xml:space="preserve">. </w:t>
      </w:r>
      <w:r w:rsidR="00C5209C">
        <w:t xml:space="preserve">Any such amendment to the Policy must take into account the Board’s requirements under the BPSAA and the Directive to ensure </w:t>
      </w:r>
      <w:r>
        <w:rPr>
          <w:rStyle w:val="Strong"/>
          <w:b w:val="0"/>
        </w:rPr>
        <w:t xml:space="preserve">accountability, transparency, value for money and fairness. </w:t>
      </w:r>
    </w:p>
    <w:p w14:paraId="5010AC0C" w14:textId="77777777" w:rsidR="00724ACC" w:rsidRPr="007D6DBF" w:rsidRDefault="00724ACC" w:rsidP="00967A89">
      <w:r>
        <w:rPr>
          <w:rStyle w:val="Strong"/>
          <w:b w:val="0"/>
        </w:rPr>
        <w:t xml:space="preserve">In our view and in light of the provisions of the Act, the BPSAA and the Directive, it would be prudent to require that </w:t>
      </w:r>
      <w:r>
        <w:t xml:space="preserve">surplus expense funds be returned to the Board. </w:t>
      </w:r>
      <w:r w:rsidR="00163B76">
        <w:t xml:space="preserve">The purpose of the expense funds is to off-set “out-of-pocket expenses” in accordance with the Act and should include such items as </w:t>
      </w:r>
      <w:r w:rsidR="007750B9">
        <w:rPr>
          <w:rStyle w:val="Strong"/>
          <w:b w:val="0"/>
        </w:rPr>
        <w:t>travel, meal</w:t>
      </w:r>
      <w:r w:rsidR="00C06F86">
        <w:rPr>
          <w:rStyle w:val="Strong"/>
          <w:b w:val="0"/>
        </w:rPr>
        <w:t>s</w:t>
      </w:r>
      <w:r w:rsidR="007750B9">
        <w:rPr>
          <w:rStyle w:val="Strong"/>
          <w:b w:val="0"/>
        </w:rPr>
        <w:t xml:space="preserve">, </w:t>
      </w:r>
      <w:r w:rsidR="00163B76">
        <w:rPr>
          <w:rStyle w:val="Strong"/>
          <w:b w:val="0"/>
        </w:rPr>
        <w:t>hospitality</w:t>
      </w:r>
      <w:r w:rsidR="00D01F99">
        <w:rPr>
          <w:rStyle w:val="Strong"/>
          <w:b w:val="0"/>
        </w:rPr>
        <w:t>, or analogous expenses,</w:t>
      </w:r>
      <w:r w:rsidR="00163B76">
        <w:rPr>
          <w:rStyle w:val="Strong"/>
          <w:b w:val="0"/>
        </w:rPr>
        <w:t xml:space="preserve"> in accordance with the Directive. Any </w:t>
      </w:r>
      <w:r w:rsidR="00163B76">
        <w:rPr>
          <w:rStyle w:val="Strong"/>
          <w:b w:val="0"/>
        </w:rPr>
        <w:lastRenderedPageBreak/>
        <w:t xml:space="preserve">donations made to local schools likely do not fall within such categories and, as such, are likely beyond the scope of </w:t>
      </w:r>
      <w:r w:rsidR="00D01F99">
        <w:rPr>
          <w:rStyle w:val="Strong"/>
          <w:b w:val="0"/>
        </w:rPr>
        <w:t xml:space="preserve">the </w:t>
      </w:r>
      <w:r w:rsidR="00163B76">
        <w:rPr>
          <w:rStyle w:val="Strong"/>
          <w:b w:val="0"/>
        </w:rPr>
        <w:t>Policy</w:t>
      </w:r>
      <w:r w:rsidR="00D01F99">
        <w:rPr>
          <w:rStyle w:val="Strong"/>
          <w:b w:val="0"/>
        </w:rPr>
        <w:t>, the Directive and section 191.1 of the Act</w:t>
      </w:r>
      <w:r w:rsidR="00163B76">
        <w:rPr>
          <w:rStyle w:val="Strong"/>
          <w:b w:val="0"/>
        </w:rPr>
        <w:t>.</w:t>
      </w:r>
      <w:r w:rsidR="002D33FD">
        <w:rPr>
          <w:rStyle w:val="Strong"/>
          <w:b w:val="0"/>
        </w:rPr>
        <w:t xml:space="preserve"> To this end, donations made to local schools, in our view, may not be classified as “out-of-pocket expenses” and should not be reimbursed under the current Policy. </w:t>
      </w:r>
      <w:r w:rsidR="00163B76">
        <w:rPr>
          <w:rStyle w:val="Strong"/>
          <w:b w:val="0"/>
        </w:rPr>
        <w:t xml:space="preserve"> </w:t>
      </w:r>
    </w:p>
    <w:p w14:paraId="5010AC0D" w14:textId="77777777" w:rsidR="00025E80" w:rsidRPr="00B42BF1" w:rsidRDefault="00025E80" w:rsidP="00075EFF">
      <w:r w:rsidRPr="00B42BF1">
        <w:t>We trust the foregoing comments are satisfactory for your purposes; however, if you have any further questions in this matter, plea</w:t>
      </w:r>
      <w:r w:rsidR="0054280A" w:rsidRPr="00B42BF1">
        <w:t>se do not hesitate to contact us</w:t>
      </w:r>
      <w:r w:rsidRPr="00B42BF1">
        <w:t>.</w:t>
      </w:r>
    </w:p>
    <w:p w14:paraId="5010AC0E" w14:textId="77777777" w:rsidR="00025E80" w:rsidRPr="00B42BF1" w:rsidRDefault="00025E80" w:rsidP="00075EFF">
      <w:bookmarkStart w:id="23" w:name="Closing"/>
      <w:bookmarkEnd w:id="23"/>
      <w:r w:rsidRPr="00B42BF1">
        <w:t>Yours very truly,</w:t>
      </w:r>
    </w:p>
    <w:p w14:paraId="5010AC0F" w14:textId="77777777" w:rsidR="00025E80" w:rsidRPr="00B42BF1" w:rsidRDefault="00025E80" w:rsidP="00075EFF">
      <w:pPr>
        <w:rPr>
          <w:b/>
        </w:rPr>
      </w:pPr>
      <w:r w:rsidRPr="00B42BF1">
        <w:rPr>
          <w:b/>
        </w:rPr>
        <w:t>BORDEN LADNER GERVAIS LLP</w:t>
      </w:r>
    </w:p>
    <w:p w14:paraId="5010AC10" w14:textId="77777777" w:rsidR="00025E80" w:rsidRPr="00B42BF1" w:rsidRDefault="00025E80" w:rsidP="00075EFF"/>
    <w:p w14:paraId="5010AC11" w14:textId="77777777" w:rsidR="00386CA7" w:rsidRDefault="00386CA7" w:rsidP="00386CA7">
      <w:pPr>
        <w:pStyle w:val="BLGLetterClosing"/>
        <w:rPr>
          <w:szCs w:val="24"/>
        </w:rPr>
      </w:pPr>
    </w:p>
    <w:p w14:paraId="5010AC12" w14:textId="77777777" w:rsidR="00386CA7" w:rsidRPr="000944F0" w:rsidRDefault="00386CA7" w:rsidP="00386CA7">
      <w:pPr>
        <w:pStyle w:val="BLGLetterClosing"/>
        <w:rPr>
          <w:szCs w:val="24"/>
        </w:rPr>
      </w:pPr>
      <w:r>
        <w:rPr>
          <w:szCs w:val="24"/>
        </w:rPr>
        <w:t xml:space="preserve">Eric M. </w:t>
      </w:r>
      <w:proofErr w:type="spellStart"/>
      <w:r>
        <w:rPr>
          <w:szCs w:val="24"/>
        </w:rPr>
        <w:t>Roher</w:t>
      </w:r>
      <w:proofErr w:type="spellEnd"/>
      <w:r>
        <w:rPr>
          <w:szCs w:val="24"/>
        </w:rPr>
        <w:t xml:space="preserve"> </w:t>
      </w:r>
    </w:p>
    <w:p w14:paraId="5010AC13" w14:textId="77777777" w:rsidR="00386CA7" w:rsidRPr="00F058B4" w:rsidRDefault="009A23CA" w:rsidP="00386CA7">
      <w:pPr>
        <w:pStyle w:val="BLGLetterClosing"/>
      </w:pPr>
      <w:r>
        <w:t>/</w:t>
      </w:r>
      <w:proofErr w:type="spellStart"/>
      <w:r>
        <w:t>bd</w:t>
      </w:r>
      <w:proofErr w:type="spellEnd"/>
    </w:p>
    <w:p w14:paraId="5010AC14" w14:textId="77777777" w:rsidR="00DD02F4" w:rsidRDefault="00DD02F4" w:rsidP="00DD02F4">
      <w:pPr>
        <w:spacing w:before="240"/>
        <w:contextualSpacing/>
        <w:jc w:val="left"/>
        <w:rPr>
          <w:rFonts w:asciiTheme="minorHAnsi" w:hAnsiTheme="minorHAnsi" w:cstheme="minorHAnsi"/>
          <w:sz w:val="20"/>
        </w:rPr>
      </w:pPr>
    </w:p>
    <w:p w14:paraId="5010AC15" w14:textId="77777777" w:rsidR="00DD02F4" w:rsidRDefault="00DD02F4" w:rsidP="00DD02F4">
      <w:pPr>
        <w:spacing w:before="240"/>
        <w:contextualSpacing/>
        <w:jc w:val="left"/>
        <w:rPr>
          <w:rFonts w:asciiTheme="minorHAnsi" w:hAnsiTheme="minorHAnsi" w:cstheme="minorHAnsi"/>
          <w:sz w:val="20"/>
        </w:rPr>
      </w:pPr>
    </w:p>
    <w:p w14:paraId="5010AC16" w14:textId="77777777" w:rsidR="00DD02F4" w:rsidRDefault="00DD02F4" w:rsidP="00DD02F4">
      <w:pPr>
        <w:spacing w:before="240"/>
        <w:contextualSpacing/>
        <w:jc w:val="left"/>
        <w:rPr>
          <w:rFonts w:asciiTheme="minorHAnsi" w:hAnsiTheme="minorHAnsi" w:cstheme="minorHAnsi"/>
          <w:sz w:val="20"/>
        </w:rPr>
      </w:pPr>
    </w:p>
    <w:p w14:paraId="5010AC17" w14:textId="77777777" w:rsidR="00DD02F4" w:rsidRDefault="00DD02F4" w:rsidP="00DD02F4">
      <w:pPr>
        <w:spacing w:before="240"/>
        <w:contextualSpacing/>
        <w:jc w:val="left"/>
        <w:rPr>
          <w:rFonts w:asciiTheme="minorHAnsi" w:hAnsiTheme="minorHAnsi" w:cstheme="minorHAnsi"/>
          <w:sz w:val="20"/>
        </w:rPr>
      </w:pPr>
    </w:p>
    <w:p w14:paraId="5010AC18" w14:textId="77777777" w:rsidR="00DD02F4" w:rsidRDefault="00DD02F4" w:rsidP="00DD02F4">
      <w:pPr>
        <w:spacing w:before="240"/>
        <w:contextualSpacing/>
        <w:jc w:val="left"/>
        <w:rPr>
          <w:rFonts w:asciiTheme="minorHAnsi" w:hAnsiTheme="minorHAnsi" w:cstheme="minorHAnsi"/>
          <w:sz w:val="20"/>
        </w:rPr>
      </w:pPr>
    </w:p>
    <w:p w14:paraId="5010AC19" w14:textId="77777777" w:rsidR="00025E80" w:rsidRPr="00F54DDE" w:rsidRDefault="00F54DDE" w:rsidP="00F54DDE">
      <w:pPr>
        <w:spacing w:before="240"/>
        <w:contextualSpacing/>
        <w:jc w:val="left"/>
        <w:rPr>
          <w:rFonts w:asciiTheme="minorHAnsi" w:hAnsiTheme="minorHAnsi" w:cstheme="minorHAnsi"/>
          <w:sz w:val="22"/>
        </w:rPr>
      </w:pPr>
      <w:r w:rsidRPr="00F54DDE">
        <w:rPr>
          <w:rFonts w:asciiTheme="minorHAnsi" w:hAnsiTheme="minorHAnsi" w:cstheme="minorHAnsi"/>
          <w:sz w:val="20"/>
        </w:rPr>
        <w:t>TOR01: 6584225: v1</w:t>
      </w:r>
      <w:bookmarkStart w:id="24" w:name="BLGFooter"/>
      <w:bookmarkEnd w:id="24"/>
    </w:p>
    <w:sectPr w:rsidR="00025E80" w:rsidRPr="00F54DDE" w:rsidSect="00085564">
      <w:type w:val="continuous"/>
      <w:pgSz w:w="12240" w:h="15840" w:code="1"/>
      <w:pgMar w:top="1440" w:right="1080" w:bottom="1080" w:left="1728"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2C61" w14:textId="77777777" w:rsidR="007533C4" w:rsidRDefault="007533C4">
      <w:r>
        <w:separator/>
      </w:r>
    </w:p>
  </w:endnote>
  <w:endnote w:type="continuationSeparator" w:id="0">
    <w:p w14:paraId="5D4771E2" w14:textId="77777777" w:rsidR="007533C4" w:rsidRDefault="007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2E42" w14:textId="77777777" w:rsidR="000A485C" w:rsidRDefault="000A4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AC22" w14:textId="77777777" w:rsidR="00C07511" w:rsidRDefault="008D59A4">
    <w:pPr>
      <w:pStyle w:val="Footer"/>
      <w:jc w:val="right"/>
    </w:pPr>
    <w:r>
      <w:rPr>
        <w:rStyle w:val="PageNumber"/>
      </w:rPr>
      <w:fldChar w:fldCharType="begin"/>
    </w:r>
    <w:r>
      <w:rPr>
        <w:rStyle w:val="PageNumber"/>
      </w:rPr>
      <w:instrText xml:space="preserve"> PAGE </w:instrText>
    </w:r>
    <w:r>
      <w:rPr>
        <w:rStyle w:val="PageNumber"/>
      </w:rPr>
      <w:fldChar w:fldCharType="separate"/>
    </w:r>
    <w:r w:rsidR="000A485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AC23" w14:textId="77777777" w:rsidR="00C07511" w:rsidRDefault="008D59A4">
    <w:pPr>
      <w:pStyle w:val="Footer"/>
      <w:tabs>
        <w:tab w:val="clear" w:pos="4320"/>
        <w:tab w:val="left" w:pos="3740"/>
      </w:tabs>
      <w:rPr>
        <w:rFonts w:ascii="Arial" w:eastAsia="Times New Roman" w:hAnsi="Arial" w:cs="Arial"/>
        <w:sz w:val="14"/>
        <w:szCs w:val="14"/>
        <w:lang w:val="en-US" w:eastAsia="en-CA"/>
      </w:rPr>
    </w:pPr>
    <w:r>
      <w:rPr>
        <w:rFonts w:ascii="Arial" w:eastAsia="Times New Roman" w:hAnsi="Arial" w:cs="Arial"/>
        <w:sz w:val="14"/>
        <w:szCs w:val="14"/>
        <w:lang w:val="en-US" w:eastAsia="en-CA"/>
      </w:rPr>
      <w:t>Lawyers | Patent &amp; Trade-mark Agents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94AF" w14:textId="77777777" w:rsidR="007533C4" w:rsidRDefault="007533C4">
      <w:r>
        <w:separator/>
      </w:r>
    </w:p>
  </w:footnote>
  <w:footnote w:type="continuationSeparator" w:id="0">
    <w:p w14:paraId="50094654" w14:textId="77777777" w:rsidR="007533C4" w:rsidRDefault="0075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AC20" w14:textId="77777777" w:rsidR="00C07511" w:rsidRDefault="00C075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AC21" w14:textId="77777777" w:rsidR="00C07511" w:rsidRDefault="00E86616" w:rsidP="004C308A">
    <w:pPr>
      <w:pStyle w:val="Header"/>
      <w:tabs>
        <w:tab w:val="clear" w:pos="4320"/>
        <w:tab w:val="clear" w:pos="8640"/>
        <w:tab w:val="right" w:pos="10010"/>
      </w:tabs>
    </w:pPr>
    <w:r>
      <w:rPr>
        <w:noProof/>
        <w:lang w:eastAsia="en-CA"/>
      </w:rPr>
      <w:drawing>
        <wp:anchor distT="0" distB="0" distL="114300" distR="114300" simplePos="0" relativeHeight="251657728" behindDoc="1" locked="0" layoutInCell="1" allowOverlap="1" wp14:anchorId="5010AC24" wp14:editId="5010AC25">
          <wp:simplePos x="0" y="0"/>
          <wp:positionH relativeFrom="column">
            <wp:posOffset>5133975</wp:posOffset>
          </wp:positionH>
          <wp:positionV relativeFrom="paragraph">
            <wp:posOffset>-265430</wp:posOffset>
          </wp:positionV>
          <wp:extent cx="1042670" cy="401320"/>
          <wp:effectExtent l="0" t="0" r="5080" b="0"/>
          <wp:wrapTight wrapText="bothSides">
            <wp:wrapPolygon edited="0">
              <wp:start x="0" y="0"/>
              <wp:lineTo x="0" y="20506"/>
              <wp:lineTo x="21311" y="20506"/>
              <wp:lineTo x="21311" y="0"/>
              <wp:lineTo x="0" y="0"/>
            </wp:wrapPolygon>
          </wp:wrapTight>
          <wp:docPr id="4" name="Picture 4"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G_Internal_K"/>
                  <pic:cNvPicPr>
                    <a:picLocks noChangeAspect="1" noChangeArrowheads="1"/>
                  </pic:cNvPicPr>
                </pic:nvPicPr>
                <pic:blipFill>
                  <a:blip r:embed="rId1">
                    <a:extLst>
                      <a:ext uri="{28A0092B-C50C-407E-A947-70E740481C1C}">
                        <a14:useLocalDpi xmlns:a14="http://schemas.microsoft.com/office/drawing/2010/main" val="0"/>
                      </a:ext>
                    </a:extLst>
                  </a:blip>
                  <a:srcRect l="9366" t="18701" r="7925" b="18701"/>
                  <a:stretch>
                    <a:fillRect/>
                  </a:stretch>
                </pic:blipFill>
                <pic:spPr bwMode="auto">
                  <a:xfrm>
                    <a:off x="0" y="0"/>
                    <a:ext cx="104267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9A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D4E0" w14:textId="77777777" w:rsidR="000A485C" w:rsidRDefault="000A4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38B"/>
    <w:multiLevelType w:val="hybridMultilevel"/>
    <w:tmpl w:val="A20C39F8"/>
    <w:lvl w:ilvl="0" w:tplc="1009000F">
      <w:start w:val="1"/>
      <w:numFmt w:val="decimal"/>
      <w:lvlText w:val="%1."/>
      <w:lvlJc w:val="left"/>
      <w:pPr>
        <w:ind w:left="787" w:hanging="360"/>
      </w:p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1" w15:restartNumberingAfterBreak="0">
    <w:nsid w:val="06662B92"/>
    <w:multiLevelType w:val="hybridMultilevel"/>
    <w:tmpl w:val="792E54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E87FAA"/>
    <w:multiLevelType w:val="hybridMultilevel"/>
    <w:tmpl w:val="8B2EE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F9180C"/>
    <w:multiLevelType w:val="hybridMultilevel"/>
    <w:tmpl w:val="582C1462"/>
    <w:lvl w:ilvl="0" w:tplc="BD1C54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4FD3FE7"/>
    <w:multiLevelType w:val="multilevel"/>
    <w:tmpl w:val="37F63B9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5" w15:restartNumberingAfterBreak="0">
    <w:nsid w:val="366F0DB1"/>
    <w:multiLevelType w:val="hybridMultilevel"/>
    <w:tmpl w:val="91340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D870FB"/>
    <w:multiLevelType w:val="hybridMultilevel"/>
    <w:tmpl w:val="582C1462"/>
    <w:lvl w:ilvl="0" w:tplc="BD1C54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1B31825"/>
    <w:multiLevelType w:val="hybridMultilevel"/>
    <w:tmpl w:val="8B2EE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021F5E"/>
    <w:multiLevelType w:val="hybridMultilevel"/>
    <w:tmpl w:val="26806B3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29A0C09"/>
    <w:multiLevelType w:val="hybridMultilevel"/>
    <w:tmpl w:val="582C1462"/>
    <w:lvl w:ilvl="0" w:tplc="BD1C54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90D7507"/>
    <w:multiLevelType w:val="hybridMultilevel"/>
    <w:tmpl w:val="B8BC7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AC67D2"/>
    <w:multiLevelType w:val="hybridMultilevel"/>
    <w:tmpl w:val="AE6E37A6"/>
    <w:lvl w:ilvl="0" w:tplc="4DEEF2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7F9D07E0"/>
    <w:multiLevelType w:val="hybridMultilevel"/>
    <w:tmpl w:val="ED3843D6"/>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4"/>
  </w:num>
  <w:num w:numId="2">
    <w:abstractNumId w:val="2"/>
  </w:num>
  <w:num w:numId="3">
    <w:abstractNumId w:val="1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9"/>
  </w:num>
  <w:num w:numId="11">
    <w:abstractNumId w:val="0"/>
  </w:num>
  <w:num w:numId="12">
    <w:abstractNumId w:val="1"/>
  </w:num>
  <w:num w:numId="13">
    <w:abstractNumId w:val="12"/>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80"/>
    <w:rsid w:val="00006341"/>
    <w:rsid w:val="00013584"/>
    <w:rsid w:val="00023C33"/>
    <w:rsid w:val="0002532A"/>
    <w:rsid w:val="00025E80"/>
    <w:rsid w:val="00037133"/>
    <w:rsid w:val="0004181A"/>
    <w:rsid w:val="00053E41"/>
    <w:rsid w:val="00054B7F"/>
    <w:rsid w:val="00070655"/>
    <w:rsid w:val="00075EFF"/>
    <w:rsid w:val="00084B84"/>
    <w:rsid w:val="00085564"/>
    <w:rsid w:val="0009172B"/>
    <w:rsid w:val="000946E6"/>
    <w:rsid w:val="000948D6"/>
    <w:rsid w:val="000A485C"/>
    <w:rsid w:val="000A4FDF"/>
    <w:rsid w:val="000B387C"/>
    <w:rsid w:val="000C65EE"/>
    <w:rsid w:val="000D1D72"/>
    <w:rsid w:val="000D6312"/>
    <w:rsid w:val="000D713F"/>
    <w:rsid w:val="000F0323"/>
    <w:rsid w:val="001023B8"/>
    <w:rsid w:val="0010687B"/>
    <w:rsid w:val="00110098"/>
    <w:rsid w:val="00120712"/>
    <w:rsid w:val="00132FEC"/>
    <w:rsid w:val="00133316"/>
    <w:rsid w:val="00133C22"/>
    <w:rsid w:val="00163B76"/>
    <w:rsid w:val="00172931"/>
    <w:rsid w:val="001731F7"/>
    <w:rsid w:val="00180476"/>
    <w:rsid w:val="00191D21"/>
    <w:rsid w:val="00192B93"/>
    <w:rsid w:val="0019314E"/>
    <w:rsid w:val="001A06A0"/>
    <w:rsid w:val="001A4FFD"/>
    <w:rsid w:val="001D0857"/>
    <w:rsid w:val="001D677C"/>
    <w:rsid w:val="001F6536"/>
    <w:rsid w:val="00213206"/>
    <w:rsid w:val="00237F08"/>
    <w:rsid w:val="00244DC8"/>
    <w:rsid w:val="0025557A"/>
    <w:rsid w:val="00267DCD"/>
    <w:rsid w:val="00275818"/>
    <w:rsid w:val="002807C6"/>
    <w:rsid w:val="00296CBB"/>
    <w:rsid w:val="002A0537"/>
    <w:rsid w:val="002A0804"/>
    <w:rsid w:val="002A13C6"/>
    <w:rsid w:val="002B0402"/>
    <w:rsid w:val="002C3C9F"/>
    <w:rsid w:val="002D289C"/>
    <w:rsid w:val="002D2DD9"/>
    <w:rsid w:val="002D33FD"/>
    <w:rsid w:val="002D590C"/>
    <w:rsid w:val="002E2DFB"/>
    <w:rsid w:val="002F24D3"/>
    <w:rsid w:val="00303088"/>
    <w:rsid w:val="00311717"/>
    <w:rsid w:val="0031319F"/>
    <w:rsid w:val="00315830"/>
    <w:rsid w:val="0032340B"/>
    <w:rsid w:val="0033504B"/>
    <w:rsid w:val="00337154"/>
    <w:rsid w:val="003439E4"/>
    <w:rsid w:val="00345D09"/>
    <w:rsid w:val="00360F67"/>
    <w:rsid w:val="00386CA7"/>
    <w:rsid w:val="003B7FAC"/>
    <w:rsid w:val="003E2329"/>
    <w:rsid w:val="003E2C1A"/>
    <w:rsid w:val="003E5C09"/>
    <w:rsid w:val="003F5FFF"/>
    <w:rsid w:val="00417A40"/>
    <w:rsid w:val="00420FB0"/>
    <w:rsid w:val="0044441F"/>
    <w:rsid w:val="00446641"/>
    <w:rsid w:val="004516A0"/>
    <w:rsid w:val="00465BDD"/>
    <w:rsid w:val="004801F7"/>
    <w:rsid w:val="0048340E"/>
    <w:rsid w:val="00491869"/>
    <w:rsid w:val="004938F9"/>
    <w:rsid w:val="004A71C5"/>
    <w:rsid w:val="004A7C59"/>
    <w:rsid w:val="004C308A"/>
    <w:rsid w:val="004C308F"/>
    <w:rsid w:val="004D28D4"/>
    <w:rsid w:val="004F07BB"/>
    <w:rsid w:val="004F1E65"/>
    <w:rsid w:val="004F3264"/>
    <w:rsid w:val="00505A04"/>
    <w:rsid w:val="00522E83"/>
    <w:rsid w:val="00523482"/>
    <w:rsid w:val="00525692"/>
    <w:rsid w:val="00532019"/>
    <w:rsid w:val="00540814"/>
    <w:rsid w:val="0054280A"/>
    <w:rsid w:val="005440BD"/>
    <w:rsid w:val="005706B0"/>
    <w:rsid w:val="005B47BD"/>
    <w:rsid w:val="005C0300"/>
    <w:rsid w:val="005C31CE"/>
    <w:rsid w:val="005C3866"/>
    <w:rsid w:val="005C42FF"/>
    <w:rsid w:val="005C7DEB"/>
    <w:rsid w:val="005D3640"/>
    <w:rsid w:val="005E1738"/>
    <w:rsid w:val="005E17A6"/>
    <w:rsid w:val="005F64AF"/>
    <w:rsid w:val="005F7401"/>
    <w:rsid w:val="00603A03"/>
    <w:rsid w:val="0061160F"/>
    <w:rsid w:val="00611998"/>
    <w:rsid w:val="006254CE"/>
    <w:rsid w:val="00630DD1"/>
    <w:rsid w:val="006344C1"/>
    <w:rsid w:val="00636EB2"/>
    <w:rsid w:val="006402D2"/>
    <w:rsid w:val="00640E53"/>
    <w:rsid w:val="00645493"/>
    <w:rsid w:val="00650F6D"/>
    <w:rsid w:val="006542D9"/>
    <w:rsid w:val="006553C4"/>
    <w:rsid w:val="00671DAE"/>
    <w:rsid w:val="006754EE"/>
    <w:rsid w:val="006800FF"/>
    <w:rsid w:val="00681291"/>
    <w:rsid w:val="006825AB"/>
    <w:rsid w:val="00692C17"/>
    <w:rsid w:val="00694FF6"/>
    <w:rsid w:val="006A1E10"/>
    <w:rsid w:val="006B479D"/>
    <w:rsid w:val="006B6154"/>
    <w:rsid w:val="006F5AD7"/>
    <w:rsid w:val="007013C3"/>
    <w:rsid w:val="00713324"/>
    <w:rsid w:val="00717DE6"/>
    <w:rsid w:val="007212D8"/>
    <w:rsid w:val="00724ACC"/>
    <w:rsid w:val="00747CB2"/>
    <w:rsid w:val="00751466"/>
    <w:rsid w:val="007533C4"/>
    <w:rsid w:val="00754E48"/>
    <w:rsid w:val="00755083"/>
    <w:rsid w:val="007613D9"/>
    <w:rsid w:val="0076398F"/>
    <w:rsid w:val="00774A64"/>
    <w:rsid w:val="007750B9"/>
    <w:rsid w:val="007A7013"/>
    <w:rsid w:val="007A7F4C"/>
    <w:rsid w:val="007B071E"/>
    <w:rsid w:val="007C0F49"/>
    <w:rsid w:val="007C35D0"/>
    <w:rsid w:val="007C4D72"/>
    <w:rsid w:val="007D4A93"/>
    <w:rsid w:val="007D6DBF"/>
    <w:rsid w:val="007F03D9"/>
    <w:rsid w:val="007F7E08"/>
    <w:rsid w:val="0080000F"/>
    <w:rsid w:val="00804E0C"/>
    <w:rsid w:val="00805942"/>
    <w:rsid w:val="00823E6E"/>
    <w:rsid w:val="00842974"/>
    <w:rsid w:val="00845389"/>
    <w:rsid w:val="00856A28"/>
    <w:rsid w:val="00856AA0"/>
    <w:rsid w:val="00864790"/>
    <w:rsid w:val="00867695"/>
    <w:rsid w:val="00867B1F"/>
    <w:rsid w:val="008758A9"/>
    <w:rsid w:val="00876831"/>
    <w:rsid w:val="00886CDF"/>
    <w:rsid w:val="00894AD5"/>
    <w:rsid w:val="00895748"/>
    <w:rsid w:val="00897A8C"/>
    <w:rsid w:val="008B0DA1"/>
    <w:rsid w:val="008B75C9"/>
    <w:rsid w:val="008C0287"/>
    <w:rsid w:val="008C5FA4"/>
    <w:rsid w:val="008C7677"/>
    <w:rsid w:val="008D59A4"/>
    <w:rsid w:val="008F1105"/>
    <w:rsid w:val="00917606"/>
    <w:rsid w:val="00920566"/>
    <w:rsid w:val="00925551"/>
    <w:rsid w:val="0092769D"/>
    <w:rsid w:val="00931C98"/>
    <w:rsid w:val="00932ECD"/>
    <w:rsid w:val="0094354A"/>
    <w:rsid w:val="00953473"/>
    <w:rsid w:val="00955591"/>
    <w:rsid w:val="00957D1D"/>
    <w:rsid w:val="00964B14"/>
    <w:rsid w:val="00966F5A"/>
    <w:rsid w:val="00967A89"/>
    <w:rsid w:val="00971DC1"/>
    <w:rsid w:val="009761C2"/>
    <w:rsid w:val="00976CF9"/>
    <w:rsid w:val="00980753"/>
    <w:rsid w:val="009860F3"/>
    <w:rsid w:val="00993447"/>
    <w:rsid w:val="009A0AAC"/>
    <w:rsid w:val="009A23CA"/>
    <w:rsid w:val="009B209C"/>
    <w:rsid w:val="009B6E79"/>
    <w:rsid w:val="009C4B3E"/>
    <w:rsid w:val="009E405C"/>
    <w:rsid w:val="00A25D1A"/>
    <w:rsid w:val="00A26186"/>
    <w:rsid w:val="00A30321"/>
    <w:rsid w:val="00A32AF5"/>
    <w:rsid w:val="00A350F2"/>
    <w:rsid w:val="00A42D7B"/>
    <w:rsid w:val="00A501FF"/>
    <w:rsid w:val="00A53086"/>
    <w:rsid w:val="00A55A28"/>
    <w:rsid w:val="00A60C57"/>
    <w:rsid w:val="00A705AE"/>
    <w:rsid w:val="00A90A55"/>
    <w:rsid w:val="00A92B4D"/>
    <w:rsid w:val="00AA6D9C"/>
    <w:rsid w:val="00AA734F"/>
    <w:rsid w:val="00AB0CF5"/>
    <w:rsid w:val="00AB6404"/>
    <w:rsid w:val="00AC6507"/>
    <w:rsid w:val="00B02636"/>
    <w:rsid w:val="00B075F7"/>
    <w:rsid w:val="00B10794"/>
    <w:rsid w:val="00B26A7B"/>
    <w:rsid w:val="00B32239"/>
    <w:rsid w:val="00B358BB"/>
    <w:rsid w:val="00B42BF1"/>
    <w:rsid w:val="00B43133"/>
    <w:rsid w:val="00B440F7"/>
    <w:rsid w:val="00B50D73"/>
    <w:rsid w:val="00B668AB"/>
    <w:rsid w:val="00B71E67"/>
    <w:rsid w:val="00B74690"/>
    <w:rsid w:val="00B77129"/>
    <w:rsid w:val="00B8529C"/>
    <w:rsid w:val="00BA77A6"/>
    <w:rsid w:val="00BB765B"/>
    <w:rsid w:val="00BC27FA"/>
    <w:rsid w:val="00BC7EBC"/>
    <w:rsid w:val="00BD16A9"/>
    <w:rsid w:val="00BD7366"/>
    <w:rsid w:val="00BE24EB"/>
    <w:rsid w:val="00C00D52"/>
    <w:rsid w:val="00C02AEE"/>
    <w:rsid w:val="00C06F86"/>
    <w:rsid w:val="00C07511"/>
    <w:rsid w:val="00C13F20"/>
    <w:rsid w:val="00C22BF0"/>
    <w:rsid w:val="00C24B06"/>
    <w:rsid w:val="00C5209C"/>
    <w:rsid w:val="00C56B54"/>
    <w:rsid w:val="00C611BD"/>
    <w:rsid w:val="00C874E2"/>
    <w:rsid w:val="00CB1DA5"/>
    <w:rsid w:val="00CB4EEC"/>
    <w:rsid w:val="00CC064D"/>
    <w:rsid w:val="00CC4955"/>
    <w:rsid w:val="00CD2385"/>
    <w:rsid w:val="00D01F99"/>
    <w:rsid w:val="00D03FA0"/>
    <w:rsid w:val="00D11711"/>
    <w:rsid w:val="00D1702A"/>
    <w:rsid w:val="00D21B2D"/>
    <w:rsid w:val="00D25117"/>
    <w:rsid w:val="00D304E5"/>
    <w:rsid w:val="00D310B5"/>
    <w:rsid w:val="00D31E91"/>
    <w:rsid w:val="00D3721F"/>
    <w:rsid w:val="00D4066D"/>
    <w:rsid w:val="00D44444"/>
    <w:rsid w:val="00D44AEB"/>
    <w:rsid w:val="00D57BE1"/>
    <w:rsid w:val="00D8448B"/>
    <w:rsid w:val="00DB49F5"/>
    <w:rsid w:val="00DB4F95"/>
    <w:rsid w:val="00DD02F4"/>
    <w:rsid w:val="00DD3313"/>
    <w:rsid w:val="00DE6C54"/>
    <w:rsid w:val="00DF055F"/>
    <w:rsid w:val="00DF294A"/>
    <w:rsid w:val="00DF425F"/>
    <w:rsid w:val="00DF6615"/>
    <w:rsid w:val="00DF6ED4"/>
    <w:rsid w:val="00DF7C76"/>
    <w:rsid w:val="00E10B39"/>
    <w:rsid w:val="00E11EA4"/>
    <w:rsid w:val="00E4433F"/>
    <w:rsid w:val="00E46244"/>
    <w:rsid w:val="00E4769C"/>
    <w:rsid w:val="00E51A13"/>
    <w:rsid w:val="00E52761"/>
    <w:rsid w:val="00E52F4F"/>
    <w:rsid w:val="00E55F48"/>
    <w:rsid w:val="00E630D0"/>
    <w:rsid w:val="00E7267D"/>
    <w:rsid w:val="00E73E31"/>
    <w:rsid w:val="00E7432D"/>
    <w:rsid w:val="00E77DAC"/>
    <w:rsid w:val="00E77EC0"/>
    <w:rsid w:val="00E86616"/>
    <w:rsid w:val="00E97BB6"/>
    <w:rsid w:val="00EA2FE7"/>
    <w:rsid w:val="00EC686D"/>
    <w:rsid w:val="00ED02AF"/>
    <w:rsid w:val="00ED5EB5"/>
    <w:rsid w:val="00ED72EB"/>
    <w:rsid w:val="00EE070B"/>
    <w:rsid w:val="00F04213"/>
    <w:rsid w:val="00F13C11"/>
    <w:rsid w:val="00F330F6"/>
    <w:rsid w:val="00F544ED"/>
    <w:rsid w:val="00F54DDE"/>
    <w:rsid w:val="00F72AC6"/>
    <w:rsid w:val="00F82431"/>
    <w:rsid w:val="00F9540C"/>
    <w:rsid w:val="00F956CB"/>
    <w:rsid w:val="00FA3B63"/>
    <w:rsid w:val="00FC01B3"/>
    <w:rsid w:val="00FE4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80"/>
    <w:pPr>
      <w:spacing w:after="240"/>
      <w:jc w:val="both"/>
    </w:pPr>
    <w:rPr>
      <w:rFonts w:eastAsiaTheme="minorHAnsi" w:cstheme="minorBidi"/>
      <w:sz w:val="24"/>
      <w:szCs w:val="22"/>
      <w:lang w:eastAsia="en-US"/>
    </w:rPr>
  </w:style>
  <w:style w:type="paragraph" w:styleId="Heading1">
    <w:name w:val="heading 1"/>
    <w:basedOn w:val="Normal"/>
    <w:next w:val="Normal"/>
    <w:qFormat/>
    <w:rsid w:val="0009172B"/>
    <w:pPr>
      <w:keepNext/>
      <w:spacing w:before="240" w:after="60"/>
      <w:outlineLvl w:val="0"/>
    </w:pPr>
    <w:rPr>
      <w:rFonts w:cs="Arial"/>
      <w:b/>
      <w:bCs/>
      <w:kern w:val="32"/>
      <w:szCs w:val="32"/>
    </w:rPr>
  </w:style>
  <w:style w:type="paragraph" w:styleId="Heading4">
    <w:name w:val="heading 4"/>
    <w:basedOn w:val="Normal"/>
    <w:next w:val="Normal"/>
    <w:link w:val="Heading4Char"/>
    <w:semiHidden/>
    <w:unhideWhenUsed/>
    <w:qFormat/>
    <w:rsid w:val="00A501FF"/>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7">
    <w:name w:val="heading 7"/>
    <w:basedOn w:val="Normal"/>
    <w:next w:val="Normal"/>
    <w:link w:val="Heading7Char"/>
    <w:qFormat/>
    <w:rsid w:val="00CB1DA5"/>
    <w:pPr>
      <w:spacing w:before="240" w:after="60"/>
      <w:jc w:val="left"/>
      <w:outlineLvl w:val="6"/>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LGLetterDate">
    <w:name w:val="BLGLetterDate"/>
    <w:basedOn w:val="NoSpacing"/>
    <w:rsid w:val="001D0857"/>
    <w:pPr>
      <w:spacing w:before="240" w:after="240"/>
      <w:ind w:left="720"/>
    </w:pPr>
  </w:style>
  <w:style w:type="paragraph" w:customStyle="1" w:styleId="BLGLetterDelivery">
    <w:name w:val="BLGLetterDelivery"/>
    <w:basedOn w:val="NoSpacing"/>
    <w:rsid w:val="001D0857"/>
    <w:pPr>
      <w:spacing w:after="240"/>
      <w:ind w:left="720"/>
    </w:pPr>
    <w:rPr>
      <w:b/>
    </w:rPr>
  </w:style>
  <w:style w:type="paragraph" w:customStyle="1" w:styleId="BLGLetterName">
    <w:name w:val="BLGLetterName"/>
    <w:basedOn w:val="NoSpacing"/>
    <w:rsid w:val="001D0857"/>
    <w:pPr>
      <w:ind w:left="720"/>
    </w:pPr>
  </w:style>
  <w:style w:type="paragraph" w:customStyle="1" w:styleId="BLGLetterAddress">
    <w:name w:val="BLGLetterAddress"/>
    <w:basedOn w:val="NoSpacing"/>
    <w:rsid w:val="001D0857"/>
    <w:pPr>
      <w:ind w:left="720"/>
    </w:pPr>
  </w:style>
  <w:style w:type="paragraph" w:customStyle="1" w:styleId="BLGLetterSalutation">
    <w:name w:val="BLGLetterSalutation"/>
    <w:basedOn w:val="NoSpacing"/>
    <w:rsid w:val="001D0857"/>
    <w:pPr>
      <w:spacing w:before="240" w:after="240"/>
      <w:ind w:left="720"/>
    </w:pPr>
  </w:style>
  <w:style w:type="paragraph" w:customStyle="1" w:styleId="BLGLetterReference">
    <w:name w:val="BLGLetterReference"/>
    <w:basedOn w:val="NoSpacing"/>
    <w:rsid w:val="001D0857"/>
    <w:rPr>
      <w:b/>
    </w:rPr>
  </w:style>
  <w:style w:type="paragraph" w:customStyle="1" w:styleId="BLGFirmAddress">
    <w:name w:val="BLGFirmAddress"/>
    <w:basedOn w:val="Normal"/>
    <w:pPr>
      <w:ind w:right="-720"/>
      <w:jc w:val="right"/>
    </w:pPr>
    <w:rPr>
      <w:rFonts w:ascii="Arial Narrow" w:hAnsi="Arial Narrow"/>
      <w:sz w:val="18"/>
    </w:rPr>
  </w:style>
  <w:style w:type="paragraph" w:customStyle="1" w:styleId="BLGLetterLawyer">
    <w:name w:val="BLGLetterLawyer"/>
    <w:basedOn w:val="NoSpacing"/>
    <w:pPr>
      <w:spacing w:before="240"/>
      <w:ind w:right="-720"/>
      <w:jc w:val="right"/>
    </w:pPr>
    <w:rPr>
      <w:rFonts w:ascii="Arial Narrow" w:hAnsi="Arial Narrow"/>
      <w:sz w:val="18"/>
    </w:rPr>
  </w:style>
  <w:style w:type="paragraph" w:customStyle="1" w:styleId="BLGLetterPhone">
    <w:name w:val="BLGLetterPhone"/>
    <w:basedOn w:val="Normal"/>
    <w:pPr>
      <w:ind w:right="-720"/>
      <w:jc w:val="right"/>
    </w:pPr>
    <w:rPr>
      <w:rFonts w:ascii="Arial Narrow" w:hAnsi="Arial Narrow"/>
      <w:sz w:val="18"/>
    </w:rPr>
  </w:style>
  <w:style w:type="paragraph" w:customStyle="1" w:styleId="BLGLetterFax">
    <w:name w:val="BLGLetterFax"/>
    <w:basedOn w:val="NoSpacing"/>
    <w:pPr>
      <w:ind w:right="-720"/>
      <w:jc w:val="right"/>
    </w:pPr>
    <w:rPr>
      <w:rFonts w:ascii="Arial Narrow" w:hAnsi="Arial Narrow"/>
      <w:sz w:val="18"/>
    </w:rPr>
  </w:style>
  <w:style w:type="paragraph" w:customStyle="1" w:styleId="BLGLetterEmail">
    <w:name w:val="BLGLetterEmail"/>
    <w:basedOn w:val="NoSpacing"/>
    <w:pPr>
      <w:ind w:right="-720"/>
      <w:jc w:val="right"/>
    </w:pPr>
    <w:rPr>
      <w:rFonts w:ascii="Arial Narrow" w:hAnsi="Arial Narrow"/>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itation">
    <w:name w:val="Citation"/>
    <w:basedOn w:val="Normal"/>
    <w:uiPriority w:val="11"/>
    <w:qFormat/>
    <w:rsid w:val="000A4FDF"/>
    <w:pPr>
      <w:spacing w:before="120"/>
      <w:ind w:left="1440" w:right="1440"/>
      <w:contextualSpacing/>
    </w:pPr>
    <w:rPr>
      <w:sz w:val="20"/>
    </w:rPr>
  </w:style>
  <w:style w:type="paragraph" w:customStyle="1" w:styleId="BLGLetterClosing">
    <w:name w:val="BLGLetterClosing"/>
    <w:basedOn w:val="NoSpacing"/>
    <w:rsid w:val="001D0857"/>
  </w:style>
  <w:style w:type="paragraph" w:customStyle="1" w:styleId="DoubleIndent">
    <w:name w:val="Double Indent"/>
    <w:aliases w:val="di"/>
    <w:basedOn w:val="Normal"/>
    <w:next w:val="Normal"/>
    <w:qFormat/>
    <w:rsid w:val="000A4FDF"/>
    <w:pPr>
      <w:ind w:left="720" w:right="720"/>
    </w:pPr>
  </w:style>
  <w:style w:type="paragraph" w:customStyle="1" w:styleId="DoubleIndent1inch">
    <w:name w:val="Double Indent 1 inch"/>
    <w:basedOn w:val="Normal"/>
    <w:next w:val="Normal"/>
    <w:uiPriority w:val="11"/>
    <w:qFormat/>
    <w:rsid w:val="000A4FDF"/>
    <w:pPr>
      <w:ind w:left="1440" w:right="1440"/>
    </w:pPr>
  </w:style>
  <w:style w:type="paragraph" w:customStyle="1" w:styleId="HalfSpacing">
    <w:name w:val="Half Spacing"/>
    <w:basedOn w:val="Normal"/>
    <w:uiPriority w:val="1"/>
    <w:qFormat/>
    <w:rsid w:val="000A4FDF"/>
    <w:pPr>
      <w:spacing w:before="60" w:after="120"/>
    </w:pPr>
  </w:style>
  <w:style w:type="paragraph" w:customStyle="1" w:styleId="IndentFirstLine">
    <w:name w:val="Indent First Line"/>
    <w:basedOn w:val="Normal"/>
    <w:next w:val="Normal"/>
    <w:uiPriority w:val="10"/>
    <w:qFormat/>
    <w:rsid w:val="000A4FDF"/>
    <w:pPr>
      <w:ind w:firstLine="720"/>
    </w:pPr>
  </w:style>
  <w:style w:type="paragraph" w:customStyle="1" w:styleId="IndentFirstLine1Inch">
    <w:name w:val="Indent First Line 1 Inch"/>
    <w:basedOn w:val="Normal"/>
    <w:next w:val="Normal"/>
    <w:uiPriority w:val="10"/>
    <w:qFormat/>
    <w:rsid w:val="000A4FDF"/>
    <w:pPr>
      <w:ind w:firstLine="1440"/>
    </w:pPr>
  </w:style>
  <w:style w:type="paragraph" w:styleId="ListParagraph">
    <w:name w:val="List Paragraph"/>
    <w:basedOn w:val="Normal"/>
    <w:uiPriority w:val="9"/>
    <w:qFormat/>
    <w:rsid w:val="000A4FDF"/>
    <w:pPr>
      <w:ind w:left="720"/>
    </w:pPr>
  </w:style>
  <w:style w:type="paragraph" w:customStyle="1" w:styleId="ListParagraph1inch">
    <w:name w:val="List Paragraph 1 inch"/>
    <w:basedOn w:val="Normal"/>
    <w:uiPriority w:val="9"/>
    <w:qFormat/>
    <w:rsid w:val="000A4FDF"/>
    <w:pPr>
      <w:ind w:left="1440"/>
    </w:pPr>
  </w:style>
  <w:style w:type="paragraph" w:styleId="NoSpacing">
    <w:name w:val="No Spacing"/>
    <w:uiPriority w:val="2"/>
    <w:qFormat/>
    <w:rsid w:val="000A4FDF"/>
    <w:pPr>
      <w:jc w:val="both"/>
    </w:pPr>
    <w:rPr>
      <w:rFonts w:eastAsiaTheme="minorHAnsi" w:cstheme="minorBidi"/>
      <w:sz w:val="24"/>
      <w:szCs w:val="22"/>
      <w:lang w:eastAsia="en-US"/>
    </w:rPr>
  </w:style>
  <w:style w:type="character" w:customStyle="1" w:styleId="StrongEmphasis">
    <w:name w:val="Strong Emphasis"/>
    <w:basedOn w:val="DefaultParagraphFont"/>
    <w:uiPriority w:val="13"/>
    <w:qFormat/>
    <w:rsid w:val="000A4FDF"/>
    <w:rPr>
      <w:b/>
      <w:i/>
      <w:u w:val="none"/>
    </w:rPr>
  </w:style>
  <w:style w:type="character" w:customStyle="1" w:styleId="StrongUnderline">
    <w:name w:val="Strong Underline"/>
    <w:basedOn w:val="DefaultParagraphFont"/>
    <w:uiPriority w:val="13"/>
    <w:qFormat/>
    <w:rsid w:val="000A4FDF"/>
    <w:rPr>
      <w:b/>
      <w:u w:val="single"/>
    </w:rPr>
  </w:style>
  <w:style w:type="paragraph" w:customStyle="1" w:styleId="TitleLCBold">
    <w:name w:val="Title LC Bold"/>
    <w:basedOn w:val="Normal"/>
    <w:next w:val="Normal"/>
    <w:uiPriority w:val="12"/>
    <w:qFormat/>
    <w:rsid w:val="000A4FDF"/>
    <w:pPr>
      <w:keepNext/>
      <w:jc w:val="left"/>
    </w:pPr>
    <w:rPr>
      <w:b/>
    </w:rPr>
  </w:style>
  <w:style w:type="paragraph" w:customStyle="1" w:styleId="TitleLCBoldItalic">
    <w:name w:val="Title LC Bold Italic"/>
    <w:basedOn w:val="Normal"/>
    <w:next w:val="Normal"/>
    <w:uiPriority w:val="12"/>
    <w:qFormat/>
    <w:rsid w:val="000A4FDF"/>
    <w:pPr>
      <w:keepNext/>
      <w:jc w:val="left"/>
    </w:pPr>
    <w:rPr>
      <w:b/>
      <w:i/>
    </w:rPr>
  </w:style>
  <w:style w:type="paragraph" w:customStyle="1" w:styleId="TitleLCBoldUnderlined">
    <w:name w:val="Title LC Bold Underlined"/>
    <w:basedOn w:val="Normal"/>
    <w:next w:val="Normal"/>
    <w:uiPriority w:val="12"/>
    <w:qFormat/>
    <w:rsid w:val="000A4FDF"/>
    <w:pPr>
      <w:keepNext/>
      <w:jc w:val="left"/>
    </w:pPr>
    <w:rPr>
      <w:b/>
      <w:u w:val="single"/>
    </w:rPr>
  </w:style>
  <w:style w:type="paragraph" w:customStyle="1" w:styleId="TitleUC1">
    <w:name w:val="Title UC 1"/>
    <w:basedOn w:val="Normal"/>
    <w:next w:val="Normal"/>
    <w:uiPriority w:val="12"/>
    <w:qFormat/>
    <w:rsid w:val="000A4FDF"/>
    <w:pPr>
      <w:keepNext/>
      <w:jc w:val="center"/>
    </w:pPr>
    <w:rPr>
      <w:b/>
      <w:caps/>
    </w:rPr>
  </w:style>
  <w:style w:type="paragraph" w:customStyle="1" w:styleId="TitleUC2">
    <w:name w:val="Title UC 2"/>
    <w:basedOn w:val="Normal"/>
    <w:next w:val="Normal"/>
    <w:uiPriority w:val="12"/>
    <w:qFormat/>
    <w:rsid w:val="000A4FDF"/>
    <w:pPr>
      <w:keepNext/>
      <w:jc w:val="center"/>
    </w:pPr>
    <w:rPr>
      <w:b/>
      <w:caps/>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GFileRef">
    <w:name w:val="BLGFileRef"/>
    <w:basedOn w:val="BLGLetterDelivery"/>
    <w:rsid w:val="001D0857"/>
    <w:pPr>
      <w:spacing w:before="480"/>
    </w:pPr>
  </w:style>
  <w:style w:type="paragraph" w:styleId="BalloonText">
    <w:name w:val="Balloon Text"/>
    <w:basedOn w:val="Normal"/>
    <w:link w:val="BalloonTextChar"/>
    <w:rsid w:val="00491869"/>
    <w:rPr>
      <w:rFonts w:ascii="Tahoma" w:hAnsi="Tahoma" w:cs="Tahoma"/>
      <w:sz w:val="16"/>
      <w:szCs w:val="16"/>
    </w:rPr>
  </w:style>
  <w:style w:type="character" w:customStyle="1" w:styleId="BalloonTextChar">
    <w:name w:val="Balloon Text Char"/>
    <w:basedOn w:val="DefaultParagraphFont"/>
    <w:link w:val="BalloonText"/>
    <w:rsid w:val="00491869"/>
    <w:rPr>
      <w:rFonts w:ascii="Tahoma" w:eastAsia="Calibri" w:hAnsi="Tahoma" w:cs="Tahoma"/>
      <w:sz w:val="16"/>
      <w:szCs w:val="16"/>
      <w:lang w:eastAsia="en-US"/>
    </w:rPr>
  </w:style>
  <w:style w:type="paragraph" w:styleId="FootnoteText">
    <w:name w:val="footnote text"/>
    <w:basedOn w:val="Normal"/>
    <w:link w:val="FootnoteTextChar"/>
    <w:uiPriority w:val="99"/>
    <w:unhideWhenUsed/>
    <w:rsid w:val="00025E80"/>
    <w:pPr>
      <w:spacing w:after="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025E80"/>
    <w:rPr>
      <w:lang w:eastAsia="en-US"/>
    </w:rPr>
  </w:style>
  <w:style w:type="character" w:styleId="FootnoteReference">
    <w:name w:val="footnote reference"/>
    <w:basedOn w:val="DefaultParagraphFont"/>
    <w:uiPriority w:val="99"/>
    <w:unhideWhenUsed/>
    <w:rsid w:val="00025E80"/>
    <w:rPr>
      <w:vertAlign w:val="superscript"/>
    </w:rPr>
  </w:style>
  <w:style w:type="character" w:customStyle="1" w:styleId="Style11ptBoldUnderline">
    <w:name w:val="Style 11 pt Bold Underline"/>
    <w:basedOn w:val="DefaultParagraphFont"/>
    <w:rsid w:val="00025E80"/>
    <w:rPr>
      <w:b/>
      <w:bCs/>
      <w:sz w:val="24"/>
      <w:u w:val="single"/>
    </w:rPr>
  </w:style>
  <w:style w:type="paragraph" w:customStyle="1" w:styleId="StyleListParagraph11ptUnderline">
    <w:name w:val="Style List Paragraph + 11 pt Underline"/>
    <w:basedOn w:val="ListParagraph"/>
    <w:rsid w:val="00025E80"/>
    <w:rPr>
      <w:u w:val="single"/>
    </w:rPr>
  </w:style>
  <w:style w:type="paragraph" w:customStyle="1" w:styleId="StyleListParagraph11pt">
    <w:name w:val="Style List Paragraph + 11 pt"/>
    <w:basedOn w:val="ListParagraph"/>
    <w:rsid w:val="00025E80"/>
  </w:style>
  <w:style w:type="character" w:customStyle="1" w:styleId="Style11ptBold">
    <w:name w:val="Style 11 pt Bold"/>
    <w:basedOn w:val="DefaultParagraphFont"/>
    <w:rsid w:val="00025E80"/>
    <w:rPr>
      <w:b/>
      <w:bCs/>
      <w:sz w:val="24"/>
    </w:rPr>
  </w:style>
  <w:style w:type="character" w:styleId="Hyperlink">
    <w:name w:val="Hyperlink"/>
    <w:basedOn w:val="DefaultParagraphFont"/>
    <w:rsid w:val="002F24D3"/>
    <w:rPr>
      <w:color w:val="000000" w:themeColor="hyperlink"/>
      <w:u w:val="single"/>
    </w:rPr>
  </w:style>
  <w:style w:type="character" w:styleId="Emphasis">
    <w:name w:val="Emphasis"/>
    <w:basedOn w:val="DefaultParagraphFont"/>
    <w:qFormat/>
    <w:rsid w:val="00505A04"/>
    <w:rPr>
      <w:i/>
      <w:iCs/>
    </w:rPr>
  </w:style>
  <w:style w:type="character" w:customStyle="1" w:styleId="Heading7Char">
    <w:name w:val="Heading 7 Char"/>
    <w:basedOn w:val="DefaultParagraphFont"/>
    <w:link w:val="Heading7"/>
    <w:rsid w:val="00CB1DA5"/>
    <w:rPr>
      <w:rFonts w:eastAsia="Calibri"/>
      <w:sz w:val="24"/>
      <w:szCs w:val="24"/>
      <w:lang w:eastAsia="en-US"/>
    </w:rPr>
  </w:style>
  <w:style w:type="paragraph" w:styleId="BodyText">
    <w:name w:val="Body Text"/>
    <w:aliases w:val="BT"/>
    <w:basedOn w:val="Normal"/>
    <w:link w:val="BodyTextChar"/>
    <w:rsid w:val="00CB1DA5"/>
    <w:rPr>
      <w:rFonts w:eastAsia="Calibri" w:cs="Times New Roman"/>
    </w:rPr>
  </w:style>
  <w:style w:type="character" w:customStyle="1" w:styleId="BodyTextChar">
    <w:name w:val="Body Text Char"/>
    <w:aliases w:val="BT Char"/>
    <w:basedOn w:val="DefaultParagraphFont"/>
    <w:link w:val="BodyText"/>
    <w:rsid w:val="00CB1DA5"/>
    <w:rPr>
      <w:rFonts w:eastAsia="Calibri"/>
      <w:sz w:val="24"/>
      <w:szCs w:val="22"/>
      <w:lang w:eastAsia="en-US"/>
    </w:rPr>
  </w:style>
  <w:style w:type="paragraph" w:customStyle="1" w:styleId="Borden1L1">
    <w:name w:val="Borden 1 L1"/>
    <w:aliases w:val="B1"/>
    <w:basedOn w:val="BodyText"/>
    <w:rsid w:val="00CB1DA5"/>
    <w:pPr>
      <w:ind w:left="720" w:hanging="720"/>
    </w:pPr>
  </w:style>
  <w:style w:type="paragraph" w:customStyle="1" w:styleId="Borden1L2">
    <w:name w:val="Borden 1 L2"/>
    <w:aliases w:val="B2"/>
    <w:basedOn w:val="BodyText"/>
    <w:rsid w:val="00CB1DA5"/>
    <w:pPr>
      <w:ind w:left="1440" w:hanging="720"/>
    </w:pPr>
  </w:style>
  <w:style w:type="paragraph" w:customStyle="1" w:styleId="Borden1L3">
    <w:name w:val="Borden 1 L3"/>
    <w:aliases w:val="B3"/>
    <w:basedOn w:val="BodyText"/>
    <w:rsid w:val="00CB1DA5"/>
    <w:pPr>
      <w:ind w:left="2160" w:hanging="720"/>
    </w:pPr>
  </w:style>
  <w:style w:type="paragraph" w:customStyle="1" w:styleId="Borden1L4">
    <w:name w:val="Borden 1 L4"/>
    <w:aliases w:val="B4"/>
    <w:basedOn w:val="BodyText"/>
    <w:rsid w:val="00CB1DA5"/>
    <w:pPr>
      <w:ind w:left="2880" w:hanging="720"/>
    </w:pPr>
  </w:style>
  <w:style w:type="paragraph" w:customStyle="1" w:styleId="Borden1L5">
    <w:name w:val="Borden 1 L5"/>
    <w:aliases w:val="B5"/>
    <w:basedOn w:val="BodyText"/>
    <w:rsid w:val="00CB1DA5"/>
    <w:pPr>
      <w:ind w:left="3600" w:hanging="720"/>
    </w:pPr>
  </w:style>
  <w:style w:type="paragraph" w:customStyle="1" w:styleId="Borden1L6">
    <w:name w:val="Borden 1 L6"/>
    <w:aliases w:val="B6"/>
    <w:basedOn w:val="BodyText"/>
    <w:rsid w:val="00CB1DA5"/>
    <w:pPr>
      <w:ind w:left="4320" w:hanging="720"/>
    </w:pPr>
  </w:style>
  <w:style w:type="paragraph" w:customStyle="1" w:styleId="Borden1L7">
    <w:name w:val="Borden 1 L7"/>
    <w:aliases w:val="B7"/>
    <w:basedOn w:val="BodyText"/>
    <w:rsid w:val="00CB1DA5"/>
    <w:pPr>
      <w:ind w:left="5040" w:hanging="720"/>
    </w:pPr>
  </w:style>
  <w:style w:type="paragraph" w:customStyle="1" w:styleId="Borden1L8">
    <w:name w:val="Borden 1 L8"/>
    <w:aliases w:val="B8"/>
    <w:basedOn w:val="BodyText"/>
    <w:rsid w:val="00CB1DA5"/>
    <w:pPr>
      <w:ind w:left="5760" w:hanging="720"/>
    </w:pPr>
  </w:style>
  <w:style w:type="paragraph" w:customStyle="1" w:styleId="Borden1L9">
    <w:name w:val="Borden 1 L9"/>
    <w:aliases w:val="B9"/>
    <w:basedOn w:val="BodyText"/>
    <w:rsid w:val="00CB1DA5"/>
    <w:pPr>
      <w:ind w:left="6480" w:hanging="720"/>
    </w:pPr>
  </w:style>
  <w:style w:type="paragraph" w:customStyle="1" w:styleId="BulletedList1">
    <w:name w:val="Bulleted List 1"/>
    <w:aliases w:val="bu1"/>
    <w:basedOn w:val="BodyText"/>
    <w:rsid w:val="00CB1DA5"/>
    <w:pPr>
      <w:ind w:left="720" w:hanging="720"/>
    </w:pPr>
  </w:style>
  <w:style w:type="paragraph" w:customStyle="1" w:styleId="BulletedList2">
    <w:name w:val="Bulleted List 2"/>
    <w:aliases w:val="bu2"/>
    <w:basedOn w:val="BodyText"/>
    <w:rsid w:val="00CB1DA5"/>
    <w:pPr>
      <w:ind w:left="1440" w:hanging="720"/>
    </w:pPr>
  </w:style>
  <w:style w:type="paragraph" w:customStyle="1" w:styleId="BulletedList3">
    <w:name w:val="Bulleted List 3"/>
    <w:aliases w:val="bu3"/>
    <w:basedOn w:val="BodyText"/>
    <w:rsid w:val="00CB1DA5"/>
    <w:pPr>
      <w:ind w:left="2160" w:hanging="720"/>
    </w:pPr>
  </w:style>
  <w:style w:type="character" w:styleId="Strong">
    <w:name w:val="Strong"/>
    <w:basedOn w:val="DefaultParagraphFont"/>
    <w:qFormat/>
    <w:rsid w:val="00CB1DA5"/>
    <w:rPr>
      <w:b/>
      <w:bCs/>
    </w:rPr>
  </w:style>
  <w:style w:type="character" w:customStyle="1" w:styleId="Heading4Char">
    <w:name w:val="Heading 4 Char"/>
    <w:basedOn w:val="DefaultParagraphFont"/>
    <w:link w:val="Heading4"/>
    <w:semiHidden/>
    <w:rsid w:val="00A501FF"/>
    <w:rPr>
      <w:rFonts w:asciiTheme="majorHAnsi" w:eastAsiaTheme="majorEastAsia" w:hAnsiTheme="majorHAnsi" w:cstheme="majorBidi"/>
      <w:b/>
      <w:bCs/>
      <w:i/>
      <w:iCs/>
      <w:color w:val="000000" w:themeColor="accent1"/>
      <w:sz w:val="24"/>
      <w:szCs w:val="22"/>
      <w:lang w:eastAsia="en-US"/>
    </w:rPr>
  </w:style>
  <w:style w:type="paragraph" w:customStyle="1" w:styleId="section-e">
    <w:name w:val="section-e"/>
    <w:basedOn w:val="Normal"/>
    <w:rsid w:val="00A501FF"/>
    <w:pPr>
      <w:spacing w:after="120"/>
      <w:ind w:firstLine="600"/>
      <w:jc w:val="left"/>
    </w:pPr>
    <w:rPr>
      <w:rFonts w:ascii="inherit" w:eastAsia="Times New Roman" w:hAnsi="inherit" w:cs="Times New Roman"/>
      <w:szCs w:val="24"/>
      <w:lang w:eastAsia="en-CA"/>
    </w:rPr>
  </w:style>
  <w:style w:type="paragraph" w:customStyle="1" w:styleId="subsection-e">
    <w:name w:val="subsection-e"/>
    <w:basedOn w:val="Normal"/>
    <w:rsid w:val="00A501FF"/>
    <w:pPr>
      <w:spacing w:after="120"/>
      <w:ind w:firstLine="600"/>
      <w:jc w:val="left"/>
    </w:pPr>
    <w:rPr>
      <w:rFonts w:ascii="inherit" w:eastAsia="Times New Roman" w:hAnsi="inherit" w:cs="Times New Roman"/>
      <w:szCs w:val="24"/>
      <w:lang w:eastAsia="en-CA"/>
    </w:rPr>
  </w:style>
  <w:style w:type="paragraph" w:customStyle="1" w:styleId="clause-e">
    <w:name w:val="clause-e"/>
    <w:basedOn w:val="Normal"/>
    <w:rsid w:val="00A501FF"/>
    <w:pPr>
      <w:spacing w:after="120"/>
      <w:ind w:left="720" w:hanging="300"/>
      <w:jc w:val="left"/>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09617">
      <w:bodyDiv w:val="1"/>
      <w:marLeft w:val="0"/>
      <w:marRight w:val="0"/>
      <w:marTop w:val="0"/>
      <w:marBottom w:val="0"/>
      <w:divBdr>
        <w:top w:val="none" w:sz="0" w:space="0" w:color="auto"/>
        <w:left w:val="none" w:sz="0" w:space="0" w:color="auto"/>
        <w:bottom w:val="none" w:sz="0" w:space="0" w:color="auto"/>
        <w:right w:val="none" w:sz="0" w:space="0" w:color="auto"/>
      </w:divBdr>
    </w:div>
    <w:div w:id="1288901363">
      <w:bodyDiv w:val="1"/>
      <w:marLeft w:val="0"/>
      <w:marRight w:val="0"/>
      <w:marTop w:val="0"/>
      <w:marBottom w:val="0"/>
      <w:divBdr>
        <w:top w:val="none" w:sz="0" w:space="0" w:color="auto"/>
        <w:left w:val="none" w:sz="0" w:space="0" w:color="auto"/>
        <w:bottom w:val="none" w:sz="0" w:space="0" w:color="auto"/>
        <w:right w:val="none" w:sz="0" w:space="0" w:color="auto"/>
      </w:divBdr>
      <w:divsChild>
        <w:div w:id="1482383792">
          <w:marLeft w:val="0"/>
          <w:marRight w:val="0"/>
          <w:marTop w:val="0"/>
          <w:marBottom w:val="0"/>
          <w:divBdr>
            <w:top w:val="none" w:sz="0" w:space="0" w:color="auto"/>
            <w:left w:val="none" w:sz="0" w:space="0" w:color="auto"/>
            <w:bottom w:val="none" w:sz="0" w:space="0" w:color="auto"/>
            <w:right w:val="none" w:sz="0" w:space="0" w:color="auto"/>
          </w:divBdr>
          <w:divsChild>
            <w:div w:id="1236011544">
              <w:marLeft w:val="0"/>
              <w:marRight w:val="0"/>
              <w:marTop w:val="0"/>
              <w:marBottom w:val="0"/>
              <w:divBdr>
                <w:top w:val="none" w:sz="0" w:space="0" w:color="auto"/>
                <w:left w:val="none" w:sz="0" w:space="0" w:color="auto"/>
                <w:bottom w:val="none" w:sz="0" w:space="0" w:color="auto"/>
                <w:right w:val="none" w:sz="0" w:space="0" w:color="auto"/>
              </w:divBdr>
              <w:divsChild>
                <w:div w:id="1316489592">
                  <w:marLeft w:val="0"/>
                  <w:marRight w:val="0"/>
                  <w:marTop w:val="0"/>
                  <w:marBottom w:val="0"/>
                  <w:divBdr>
                    <w:top w:val="none" w:sz="0" w:space="0" w:color="auto"/>
                    <w:left w:val="none" w:sz="0" w:space="0" w:color="auto"/>
                    <w:bottom w:val="none" w:sz="0" w:space="0" w:color="auto"/>
                    <w:right w:val="none" w:sz="0" w:space="0" w:color="auto"/>
                  </w:divBdr>
                  <w:divsChild>
                    <w:div w:id="511264975">
                      <w:marLeft w:val="0"/>
                      <w:marRight w:val="0"/>
                      <w:marTop w:val="0"/>
                      <w:marBottom w:val="0"/>
                      <w:divBdr>
                        <w:top w:val="none" w:sz="0" w:space="0" w:color="auto"/>
                        <w:left w:val="none" w:sz="0" w:space="0" w:color="auto"/>
                        <w:bottom w:val="none" w:sz="0" w:space="0" w:color="auto"/>
                        <w:right w:val="none" w:sz="0" w:space="0" w:color="auto"/>
                      </w:divBdr>
                      <w:divsChild>
                        <w:div w:id="1928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7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A28D1AEE97348836154448DDB7F8F" ma:contentTypeVersion="16" ma:contentTypeDescription="Create a new document." ma:contentTypeScope="" ma:versionID="169cb62c1a4ba437bbe208147c87c7ca">
  <xsd:schema xmlns:xsd="http://www.w3.org/2001/XMLSchema" xmlns:xs="http://www.w3.org/2001/XMLSchema" xmlns:p="http://schemas.microsoft.com/office/2006/metadata/properties" xmlns:ns2="6e41b5cb-ddad-469b-bc58-6679f36d56b4" targetNamespace="http://schemas.microsoft.com/office/2006/metadata/properties" ma:root="true" ma:fieldsID="a81e1ded5cb3791b5f011a772c2872fc" ns2:_="">
    <xsd:import namespace="6e41b5cb-ddad-469b-bc58-6679f36d56b4"/>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1b5cb-ddad-469b-bc58-6679f36d56b4"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Sequence" ma:index="15" nillable="true" ma:displayName="Sequence" ma:internalName="Sequence">
      <xsd:simpleType>
        <xsd:restriction base="dms:Text"/>
      </xsd:simpleType>
    </xsd:element>
    <xsd:element name="Include" ma:index="16" nillable="true" ma:displayName="Include" ma:internalName="Include">
      <xsd:simpleType>
        <xsd:restriction base="dms:Boolean"/>
      </xsd:simpleType>
    </xsd:element>
    <xsd:element name="PublishParticipantsPortalDate" ma:index="17" nillable="true" ma:displayName="PublishParticipantsPortalDate" ma:internalName="PublishParticipantsPortalDate">
      <xsd:simpleType>
        <xsd:restriction base="dms:DateTime"/>
      </xsd:simpleType>
    </xsd:element>
    <xsd:element name="PublishVisitorsPortalDate" ma:index="18" nillable="true" ma:displayName="PublishVisitorsPortalDate" ma:internalName="PublishVisitorsPortalDate">
      <xsd:simpleType>
        <xsd:restriction base="dms:DateTime"/>
      </xsd:simpleType>
    </xsd:element>
    <xsd:element name="PublishWorkspaceDate" ma:index="19" nillable="true" ma:displayName="PublishWorkspaceDate" ma:internalName="PublishWorkspaceDate">
      <xsd:simpleType>
        <xsd:restriction base="dms:DateTime"/>
      </xsd:simpleType>
    </xsd:element>
    <xsd:element name="PublishInternetDate" ma:index="20" nillable="true" ma:displayName="PublishInternetDate" ma:internalName="PublishInternetDate">
      <xsd:simpleType>
        <xsd:restriction base="dms:DateTime"/>
      </xsd:simpleType>
    </xsd:element>
    <xsd:element name="PublishTwitter" ma:index="21" nillable="true" ma:displayName="PublishTwitter" ma:internalName="PublishTwitter">
      <xsd:simpleType>
        <xsd:restriction base="dms:DateTime"/>
      </xsd:simpleType>
    </xsd:element>
    <xsd:element name="PublishFacebook" ma:index="22" nillable="true" ma:displayName="PublishFacebook" ma:internalName="PublishFacebook">
      <xsd:simpleType>
        <xsd:restriction base="dms:DateTime"/>
      </xsd:simpleType>
    </xsd:element>
    <xsd:element name="ReportID" ma:index="23" nillable="true" ma:displayName="ReportID" ma:internalName="Repor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ParticipantsPortalDate xmlns="6e41b5cb-ddad-469b-bc58-6679f36d56b4" xsi:nil="true"/>
    <Include xmlns="6e41b5cb-ddad-469b-bc58-6679f36d56b4">true</Include>
    <PublishInternetDate xmlns="6e41b5cb-ddad-469b-bc58-6679f36d56b4" xsi:nil="true"/>
    <WorkspaceFile xmlns="6e41b5cb-ddad-469b-bc58-6679f36d56b4" xsi:nil="true"/>
    <PrintDate xmlns="6e41b5cb-ddad-469b-bc58-6679f36d56b4" xsi:nil="true"/>
    <InternetDocID xmlns="6e41b5cb-ddad-469b-bc58-6679f36d56b4" xsi:nil="true"/>
    <PublishTwitter xmlns="6e41b5cb-ddad-469b-bc58-6679f36d56b4" xsi:nil="true"/>
    <Sequence xmlns="6e41b5cb-ddad-469b-bc58-6679f36d56b4">01</Sequence>
    <AgendaID xmlns="6e41b5cb-ddad-469b-bc58-6679f36d56b4">26</AgendaID>
    <Publish_x0020_Participants xmlns="6e41b5cb-ddad-469b-bc58-6679f36d56b4">No</Publish_x0020_Participants>
    <PublishVisitorsPortalDate xmlns="6e41b5cb-ddad-469b-bc58-6679f36d56b4" xsi:nil="true"/>
    <PublishWorkspaceDate xmlns="6e41b5cb-ddad-469b-bc58-6679f36d56b4" xsi:nil="true"/>
    <Approved xmlns="6e41b5cb-ddad-469b-bc58-6679f36d56b4">No</Approved>
    <PublishFacebook xmlns="6e41b5cb-ddad-469b-bc58-6679f36d56b4" xsi:nil="true"/>
    <ReportID xmlns="6e41b5cb-ddad-469b-bc58-6679f36d56b4" xsi:nil="true"/>
    <Publish_x0020_Visitors xmlns="6e41b5cb-ddad-469b-bc58-6679f36d56b4" xsi:nil="true"/>
  </documentManagement>
</p:properties>
</file>

<file path=customXml/itemProps1.xml><?xml version="1.0" encoding="utf-8"?>
<ds:datastoreItem xmlns:ds="http://schemas.openxmlformats.org/officeDocument/2006/customXml" ds:itemID="{98EA8B39-48A3-49FC-85CA-4CA78346AFF4}"/>
</file>

<file path=customXml/itemProps2.xml><?xml version="1.0" encoding="utf-8"?>
<ds:datastoreItem xmlns:ds="http://schemas.openxmlformats.org/officeDocument/2006/customXml" ds:itemID="{20FA06CF-1C4A-44C2-9240-CCEB3E11565D}"/>
</file>

<file path=customXml/itemProps3.xml><?xml version="1.0" encoding="utf-8"?>
<ds:datastoreItem xmlns:ds="http://schemas.openxmlformats.org/officeDocument/2006/customXml" ds:itemID="{A5543FF4-63C3-4407-B0F1-974F7CFCD265}"/>
</file>

<file path=customXml/itemProps4.xml><?xml version="1.0" encoding="utf-8"?>
<ds:datastoreItem xmlns:ds="http://schemas.openxmlformats.org/officeDocument/2006/customXml" ds:itemID="{14A22887-D726-4C92-AAB1-6AD8C283E443}"/>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2017-01-30T21:13:00Z</dcterms:created>
  <dcterms:modified xsi:type="dcterms:W3CDTF">2017-01-30T21:13:00Z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0x010100155A28D1AEE97348836154448DDB7F8F</vt:lpwstr>
  </property>
</Properties>
</file>